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both"/>
        <w:rPr>
          <w:rFonts w:hint="default"/>
          <w:lang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left="0" w:leftChars="0" w:right="0" w:firstLine="0" w:firstLineChars="0"/>
        <w:jc w:val="center"/>
        <w:textAlignment w:val="auto"/>
        <w:outlineLvl w:val="9"/>
        <w:rPr>
          <w:rFonts w:hint="eastAsia" w:asciiTheme="minorEastAsia" w:hAnsiTheme="minorEastAsia" w:eastAsiaTheme="minorEastAsia" w:cstheme="minorEastAsia"/>
          <w:b w:val="0"/>
          <w:bCs w:val="0"/>
          <w:i w:val="0"/>
          <w:caps w:val="0"/>
          <w:color w:val="333333"/>
          <w:spacing w:val="0"/>
          <w:sz w:val="44"/>
          <w:szCs w:val="44"/>
          <w:highlight w:val="none"/>
          <w:shd w:val="clear" w:color="auto" w:fill="FFFFFF"/>
          <w:lang w:eastAsia="zh-CN"/>
        </w:rPr>
      </w:pPr>
      <w:r>
        <w:rPr>
          <w:rFonts w:hint="eastAsia" w:asciiTheme="minorEastAsia" w:hAnsiTheme="minorEastAsia" w:eastAsiaTheme="minorEastAsia" w:cstheme="minorEastAsia"/>
          <w:b w:val="0"/>
          <w:bCs w:val="0"/>
          <w:i w:val="0"/>
          <w:caps w:val="0"/>
          <w:color w:val="333333"/>
          <w:spacing w:val="0"/>
          <w:sz w:val="44"/>
          <w:szCs w:val="44"/>
          <w:highlight w:val="none"/>
          <w:shd w:val="clear" w:color="auto" w:fill="FFFFFF"/>
          <w:lang w:eastAsia="zh-CN"/>
        </w:rPr>
        <w:t>镇康县</w:t>
      </w:r>
      <w:r>
        <w:rPr>
          <w:rFonts w:hint="eastAsia" w:asciiTheme="minorEastAsia" w:hAnsiTheme="minorEastAsia" w:eastAsiaTheme="minorEastAsia" w:cstheme="minorEastAsia"/>
          <w:b w:val="0"/>
          <w:bCs w:val="0"/>
          <w:i w:val="0"/>
          <w:caps w:val="0"/>
          <w:color w:val="333333"/>
          <w:spacing w:val="0"/>
          <w:sz w:val="44"/>
          <w:szCs w:val="44"/>
          <w:highlight w:val="none"/>
          <w:shd w:val="clear" w:color="auto" w:fill="FFFFFF"/>
        </w:rPr>
        <w:t>人民政府办公室关于印发</w:t>
      </w:r>
      <w:r>
        <w:rPr>
          <w:rFonts w:hint="eastAsia" w:asciiTheme="minorEastAsia" w:hAnsiTheme="minorEastAsia" w:eastAsiaTheme="minorEastAsia" w:cstheme="minorEastAsia"/>
          <w:b w:val="0"/>
          <w:bCs w:val="0"/>
          <w:i w:val="0"/>
          <w:caps w:val="0"/>
          <w:color w:val="333333"/>
          <w:spacing w:val="0"/>
          <w:sz w:val="44"/>
          <w:szCs w:val="44"/>
          <w:highlight w:val="none"/>
          <w:shd w:val="clear" w:color="auto" w:fill="FFFFFF"/>
          <w:lang w:eastAsia="zh-CN"/>
        </w:rPr>
        <w:t>《镇康县</w:t>
      </w:r>
      <w:r>
        <w:rPr>
          <w:rFonts w:hint="eastAsia" w:asciiTheme="minorEastAsia" w:hAnsiTheme="minorEastAsia" w:eastAsiaTheme="minorEastAsia" w:cstheme="minorEastAsia"/>
          <w:b w:val="0"/>
          <w:bCs w:val="0"/>
          <w:i w:val="0"/>
          <w:caps w:val="0"/>
          <w:color w:val="333333"/>
          <w:spacing w:val="0"/>
          <w:sz w:val="44"/>
          <w:szCs w:val="44"/>
          <w:highlight w:val="none"/>
          <w:shd w:val="clear" w:color="auto" w:fill="FFFFFF"/>
        </w:rPr>
        <w:t>农村饮水安全工程运行管理</w:t>
      </w:r>
      <w:r>
        <w:rPr>
          <w:rFonts w:hint="eastAsia" w:asciiTheme="minorEastAsia" w:hAnsiTheme="minorEastAsia" w:eastAsiaTheme="minorEastAsia" w:cstheme="minorEastAsia"/>
          <w:b w:val="0"/>
          <w:bCs w:val="0"/>
          <w:i w:val="0"/>
          <w:caps w:val="0"/>
          <w:color w:val="333333"/>
          <w:spacing w:val="0"/>
          <w:sz w:val="44"/>
          <w:szCs w:val="44"/>
          <w:highlight w:val="none"/>
          <w:shd w:val="clear" w:color="auto" w:fill="FFFFFF"/>
          <w:lang w:eastAsia="zh-CN"/>
        </w:rPr>
        <w:t>方案</w:t>
      </w:r>
      <w:r>
        <w:rPr>
          <w:rFonts w:hint="eastAsia" w:asciiTheme="minorEastAsia" w:hAnsiTheme="minorEastAsia" w:eastAsiaTheme="minorEastAsia" w:cstheme="minorEastAsia"/>
          <w:b w:val="0"/>
          <w:bCs w:val="0"/>
          <w:i w:val="0"/>
          <w:caps w:val="0"/>
          <w:color w:val="333333"/>
          <w:spacing w:val="0"/>
          <w:sz w:val="44"/>
          <w:szCs w:val="44"/>
          <w:highlight w:val="none"/>
          <w:shd w:val="clear" w:color="auto" w:fill="FFFFFF"/>
        </w:rPr>
        <w:t>（试行）</w:t>
      </w:r>
      <w:r>
        <w:rPr>
          <w:rFonts w:hint="eastAsia" w:asciiTheme="minorEastAsia" w:hAnsiTheme="minorEastAsia" w:eastAsiaTheme="minorEastAsia" w:cstheme="minorEastAsia"/>
          <w:b w:val="0"/>
          <w:bCs w:val="0"/>
          <w:i w:val="0"/>
          <w:caps w:val="0"/>
          <w:color w:val="333333"/>
          <w:spacing w:val="0"/>
          <w:sz w:val="44"/>
          <w:szCs w:val="44"/>
          <w:highlight w:val="none"/>
          <w:shd w:val="clear" w:color="auto" w:fill="FFFFFF"/>
          <w:lang w:eastAsia="zh-CN"/>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left="0" w:leftChars="0" w:right="0" w:firstLine="0" w:firstLineChars="0"/>
        <w:jc w:val="center"/>
        <w:textAlignment w:val="auto"/>
        <w:outlineLvl w:val="9"/>
        <w:rPr>
          <w:rFonts w:hint="eastAsia" w:ascii="楷体_GB2312" w:hAnsi="楷体_GB2312" w:eastAsia="楷体_GB2312" w:cs="楷体_GB2312"/>
          <w:sz w:val="32"/>
          <w:szCs w:val="32"/>
        </w:rPr>
      </w:pPr>
      <w:r>
        <w:rPr>
          <w:rFonts w:hint="eastAsia" w:asciiTheme="minorEastAsia" w:hAnsiTheme="minorEastAsia" w:eastAsiaTheme="minorEastAsia" w:cstheme="minorEastAsia"/>
          <w:b w:val="0"/>
          <w:bCs w:val="0"/>
          <w:i w:val="0"/>
          <w:caps w:val="0"/>
          <w:color w:val="333333"/>
          <w:spacing w:val="0"/>
          <w:sz w:val="44"/>
          <w:szCs w:val="44"/>
          <w:highlight w:val="none"/>
          <w:shd w:val="clear" w:color="auto" w:fill="FFFFFF"/>
        </w:rPr>
        <w:t>的通知</w:t>
      </w:r>
    </w:p>
    <w:p>
      <w:pPr>
        <w:pageBreakBefore w:val="0"/>
        <w:kinsoku/>
        <w:overflowPunct/>
        <w:topLinePunct w:val="0"/>
        <w:autoSpaceDE/>
        <w:autoSpaceDN/>
        <w:bidi w:val="0"/>
        <w:adjustRightInd/>
        <w:snapToGrid/>
        <w:spacing w:line="576" w:lineRule="exact"/>
        <w:jc w:val="center"/>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镇</w:t>
      </w:r>
      <w:r>
        <w:rPr>
          <w:rFonts w:hint="eastAsia" w:ascii="楷体_GB2312" w:hAnsi="楷体_GB2312" w:eastAsia="楷体_GB2312" w:cs="楷体_GB2312"/>
          <w:sz w:val="32"/>
          <w:szCs w:val="32"/>
          <w:lang w:eastAsia="zh-CN"/>
        </w:rPr>
        <w:t>政</w:t>
      </w:r>
      <w:r>
        <w:rPr>
          <w:rFonts w:hint="eastAsia" w:ascii="楷体_GB2312" w:hAnsi="楷体_GB2312" w:eastAsia="楷体_GB2312" w:cs="楷体_GB2312"/>
          <w:sz w:val="32"/>
          <w:szCs w:val="32"/>
        </w:rPr>
        <w:t>办发〔2019〕</w:t>
      </w:r>
      <w:r>
        <w:rPr>
          <w:rFonts w:hint="eastAsia" w:ascii="楷体_GB2312" w:hAnsi="楷体_GB2312" w:eastAsia="楷体_GB2312" w:cs="楷体_GB2312"/>
          <w:i w:val="0"/>
          <w:caps w:val="0"/>
          <w:color w:val="333333"/>
          <w:spacing w:val="0"/>
          <w:sz w:val="32"/>
          <w:szCs w:val="32"/>
          <w:shd w:val="clear" w:fill="FFFFFF"/>
          <w:lang w:val="en-US" w:eastAsia="zh-CN"/>
        </w:rPr>
        <w:t>99</w:t>
      </w:r>
      <w:r>
        <w:rPr>
          <w:rFonts w:hint="eastAsia" w:ascii="楷体_GB2312" w:hAnsi="楷体_GB2312" w:eastAsia="楷体_GB2312" w:cs="楷体_GB2312"/>
          <w:sz w:val="32"/>
          <w:szCs w:val="32"/>
        </w:rPr>
        <w:t>号</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default"/>
          <w:lang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left="0" w:right="0" w:firstLine="0" w:firstLineChars="0"/>
        <w:jc w:val="both"/>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各乡（镇）人民政府，县直各有关部门：</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576" w:lineRule="exact"/>
        <w:ind w:left="0" w:right="0" w:firstLine="48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《镇康县农村饮水安全工程运行管理方案（试行）》已经县人民政府同意，现印发给你们，请认真贯彻执行。</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left="0" w:right="0" w:firstLine="480"/>
        <w:textAlignment w:val="auto"/>
        <w:outlineLvl w:val="9"/>
        <w:rPr>
          <w:rFonts w:hint="eastAsia" w:ascii="仿宋_GB2312" w:hAnsi="仿宋_GB2312" w:eastAsia="仿宋_GB2312" w:cs="仿宋_GB2312"/>
          <w:color w:val="auto"/>
          <w:kern w:val="2"/>
          <w:sz w:val="32"/>
          <w:szCs w:val="32"/>
          <w:highlight w:val="none"/>
          <w:lang w:val="en-US" w:eastAsia="zh-CN" w:bidi="ar-SA"/>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left="0" w:right="0" w:firstLine="480"/>
        <w:textAlignment w:val="auto"/>
        <w:outlineLvl w:val="9"/>
        <w:rPr>
          <w:rFonts w:hint="eastAsia" w:ascii="仿宋_GB2312" w:hAnsi="仿宋_GB2312" w:eastAsia="仿宋_GB2312" w:cs="仿宋_GB2312"/>
          <w:color w:val="auto"/>
          <w:kern w:val="2"/>
          <w:sz w:val="32"/>
          <w:szCs w:val="32"/>
          <w:highlight w:val="none"/>
          <w:lang w:val="en-US" w:eastAsia="zh-CN" w:bidi="ar-SA"/>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left="0" w:right="0" w:firstLine="480"/>
        <w:textAlignment w:val="auto"/>
        <w:outlineLvl w:val="9"/>
        <w:rPr>
          <w:rFonts w:hint="eastAsia" w:ascii="仿宋_GB2312" w:hAnsi="仿宋_GB2312" w:eastAsia="仿宋_GB2312" w:cs="仿宋_GB2312"/>
          <w:color w:val="auto"/>
          <w:kern w:val="2"/>
          <w:sz w:val="32"/>
          <w:szCs w:val="32"/>
          <w:highlight w:val="none"/>
          <w:lang w:val="en-US" w:eastAsia="zh-CN" w:bidi="ar-SA"/>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left="0" w:right="0" w:firstLine="480"/>
        <w:textAlignment w:val="auto"/>
        <w:outlineLvl w:val="9"/>
        <w:rPr>
          <w:rFonts w:hint="eastAsia" w:ascii="仿宋_GB2312" w:hAnsi="仿宋_GB2312" w:eastAsia="仿宋_GB2312" w:cs="仿宋_GB2312"/>
          <w:color w:val="auto"/>
          <w:kern w:val="2"/>
          <w:sz w:val="32"/>
          <w:szCs w:val="32"/>
          <w:highlight w:val="none"/>
          <w:lang w:val="en-US" w:eastAsia="zh-CN" w:bidi="ar-SA"/>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76" w:lineRule="exact"/>
        <w:ind w:left="0" w:right="0" w:firstLine="480"/>
        <w:jc w:val="righ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 xml:space="preserve">               2019年12月18日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576" w:lineRule="exact"/>
        <w:ind w:left="0" w:right="0" w:firstLine="480"/>
        <w:textAlignment w:val="auto"/>
        <w:rPr>
          <w:rFonts w:hint="default"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(此件公开发布)</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576" w:lineRule="exact"/>
        <w:ind w:left="0" w:right="0" w:firstLine="480"/>
        <w:jc w:val="center"/>
        <w:textAlignment w:val="auto"/>
        <w:rPr>
          <w:rFonts w:hint="default" w:ascii="Times New Roman" w:hAnsi="Times New Roman" w:eastAsia="微软雅黑" w:cs="Times New Roman"/>
          <w:b w:val="0"/>
          <w:bCs w:val="0"/>
          <w:i w:val="0"/>
          <w:caps w:val="0"/>
          <w:color w:val="333333"/>
          <w:spacing w:val="0"/>
          <w:sz w:val="36"/>
          <w:szCs w:val="36"/>
          <w:highlight w:val="none"/>
          <w:shd w:val="clear" w:color="auto" w:fill="FFFFFF"/>
          <w:lang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576" w:lineRule="exact"/>
        <w:ind w:left="0" w:right="0" w:firstLine="480"/>
        <w:jc w:val="center"/>
        <w:textAlignment w:val="auto"/>
        <w:rPr>
          <w:rFonts w:hint="default" w:ascii="Times New Roman" w:hAnsi="Times New Roman" w:eastAsia="微软雅黑" w:cs="Times New Roman"/>
          <w:b w:val="0"/>
          <w:bCs w:val="0"/>
          <w:i w:val="0"/>
          <w:caps w:val="0"/>
          <w:color w:val="333333"/>
          <w:spacing w:val="0"/>
          <w:sz w:val="36"/>
          <w:szCs w:val="36"/>
          <w:highlight w:val="none"/>
          <w:shd w:val="clear" w:color="auto" w:fill="FFFFFF"/>
          <w:lang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576" w:lineRule="exact"/>
        <w:ind w:left="0" w:right="0" w:firstLine="480"/>
        <w:jc w:val="center"/>
        <w:textAlignment w:val="auto"/>
        <w:rPr>
          <w:rFonts w:hint="default" w:ascii="Times New Roman" w:hAnsi="Times New Roman" w:eastAsia="微软雅黑" w:cs="Times New Roman"/>
          <w:b w:val="0"/>
          <w:bCs w:val="0"/>
          <w:i w:val="0"/>
          <w:caps w:val="0"/>
          <w:color w:val="333333"/>
          <w:spacing w:val="0"/>
          <w:sz w:val="36"/>
          <w:szCs w:val="36"/>
          <w:highlight w:val="none"/>
          <w:shd w:val="clear" w:color="auto" w:fill="FFFFFF"/>
          <w:lang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576" w:lineRule="exact"/>
        <w:ind w:left="0" w:right="0" w:firstLine="480"/>
        <w:jc w:val="center"/>
        <w:textAlignment w:val="auto"/>
        <w:rPr>
          <w:rFonts w:hint="default" w:ascii="Times New Roman" w:hAnsi="Times New Roman" w:eastAsia="微软雅黑" w:cs="Times New Roman"/>
          <w:b w:val="0"/>
          <w:bCs w:val="0"/>
          <w:i w:val="0"/>
          <w:caps w:val="0"/>
          <w:color w:val="333333"/>
          <w:spacing w:val="0"/>
          <w:sz w:val="36"/>
          <w:szCs w:val="36"/>
          <w:highlight w:val="none"/>
          <w:shd w:val="clear" w:color="auto" w:fill="FFFFFF"/>
          <w:lang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576" w:lineRule="exact"/>
        <w:ind w:left="0" w:right="0" w:firstLine="480"/>
        <w:jc w:val="center"/>
        <w:textAlignment w:val="auto"/>
        <w:rPr>
          <w:rFonts w:hint="default" w:ascii="Times New Roman" w:hAnsi="Times New Roman" w:eastAsia="微软雅黑" w:cs="Times New Roman"/>
          <w:b w:val="0"/>
          <w:bCs w:val="0"/>
          <w:i w:val="0"/>
          <w:caps w:val="0"/>
          <w:color w:val="333333"/>
          <w:spacing w:val="0"/>
          <w:sz w:val="36"/>
          <w:szCs w:val="36"/>
          <w:highlight w:val="none"/>
          <w:shd w:val="clear" w:color="auto" w:fill="FFFFFF"/>
          <w:lang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left="0" w:right="0" w:firstLine="0" w:firstLineChars="0"/>
        <w:jc w:val="center"/>
        <w:textAlignment w:val="auto"/>
        <w:rPr>
          <w:rFonts w:hint="default" w:ascii="Times New Roman" w:hAnsi="Times New Roman" w:eastAsia="方正小标宋简体" w:cs="Times New Roman"/>
          <w:b w:val="0"/>
          <w:bCs w:val="0"/>
          <w:i w:val="0"/>
          <w:caps w:val="0"/>
          <w:color w:val="auto"/>
          <w:spacing w:val="0"/>
          <w:sz w:val="44"/>
          <w:szCs w:val="44"/>
          <w:highlight w:val="none"/>
          <w:shd w:val="clear" w:color="auto" w:fill="FFFFFF"/>
          <w:lang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left="0" w:right="0" w:firstLine="0" w:firstLineChars="0"/>
        <w:jc w:val="center"/>
        <w:textAlignment w:val="auto"/>
        <w:rPr>
          <w:rFonts w:hint="eastAsia" w:asciiTheme="minorEastAsia" w:hAnsiTheme="minorEastAsia" w:eastAsiaTheme="minorEastAsia" w:cstheme="minorEastAsia"/>
          <w:b w:val="0"/>
          <w:bCs w:val="0"/>
          <w:i w:val="0"/>
          <w:caps w:val="0"/>
          <w:color w:val="auto"/>
          <w:spacing w:val="0"/>
          <w:sz w:val="44"/>
          <w:szCs w:val="44"/>
          <w:highlight w:val="none"/>
          <w:shd w:val="clear" w:color="auto" w:fill="FFFFFF"/>
          <w:lang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left="0" w:right="0" w:firstLine="0" w:firstLineChars="0"/>
        <w:jc w:val="center"/>
        <w:textAlignment w:val="auto"/>
        <w:rPr>
          <w:rFonts w:hint="eastAsia" w:asciiTheme="minorEastAsia" w:hAnsiTheme="minorEastAsia" w:eastAsiaTheme="minorEastAsia" w:cstheme="minorEastAsia"/>
          <w:b w:val="0"/>
          <w:bCs w:val="0"/>
          <w:i w:val="0"/>
          <w:caps w:val="0"/>
          <w:color w:val="auto"/>
          <w:spacing w:val="0"/>
          <w:sz w:val="44"/>
          <w:szCs w:val="44"/>
          <w:highlight w:val="none"/>
          <w:shd w:val="clear" w:color="auto" w:fill="FFFFFF"/>
          <w:lang w:eastAsia="zh-CN"/>
        </w:rPr>
      </w:pPr>
      <w:r>
        <w:rPr>
          <w:rFonts w:hint="eastAsia" w:asciiTheme="minorEastAsia" w:hAnsiTheme="minorEastAsia" w:eastAsiaTheme="minorEastAsia" w:cstheme="minorEastAsia"/>
          <w:b w:val="0"/>
          <w:bCs w:val="0"/>
          <w:i w:val="0"/>
          <w:caps w:val="0"/>
          <w:color w:val="auto"/>
          <w:spacing w:val="0"/>
          <w:sz w:val="44"/>
          <w:szCs w:val="44"/>
          <w:highlight w:val="none"/>
          <w:shd w:val="clear" w:color="auto" w:fill="FFFFFF"/>
          <w:lang w:eastAsia="zh-CN"/>
        </w:rPr>
        <w:t>镇康县农村饮水安全工程运行管理方案（</w:t>
      </w:r>
      <w:r>
        <w:rPr>
          <w:rFonts w:hint="eastAsia" w:asciiTheme="minorEastAsia" w:hAnsiTheme="minorEastAsia" w:eastAsiaTheme="minorEastAsia" w:cstheme="minorEastAsia"/>
          <w:b w:val="0"/>
          <w:bCs w:val="0"/>
          <w:i w:val="0"/>
          <w:caps w:val="0"/>
          <w:color w:val="auto"/>
          <w:spacing w:val="0"/>
          <w:sz w:val="44"/>
          <w:szCs w:val="44"/>
          <w:highlight w:val="none"/>
          <w:shd w:val="clear" w:color="auto" w:fill="FFFFFF"/>
          <w:lang w:val="en-US" w:eastAsia="zh-CN"/>
        </w:rPr>
        <w:t>试行</w:t>
      </w:r>
      <w:r>
        <w:rPr>
          <w:rFonts w:hint="eastAsia" w:asciiTheme="minorEastAsia" w:hAnsiTheme="minorEastAsia" w:eastAsiaTheme="minorEastAsia" w:cstheme="minorEastAsia"/>
          <w:b w:val="0"/>
          <w:bCs w:val="0"/>
          <w:i w:val="0"/>
          <w:caps w:val="0"/>
          <w:color w:val="auto"/>
          <w:spacing w:val="0"/>
          <w:sz w:val="44"/>
          <w:szCs w:val="44"/>
          <w:highlight w:val="none"/>
          <w:shd w:val="clear" w:color="auto" w:fill="FFFFFF"/>
          <w:lang w:eastAsia="zh-CN"/>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left="0" w:right="0" w:firstLine="480"/>
        <w:jc w:val="center"/>
        <w:textAlignment w:val="auto"/>
        <w:rPr>
          <w:rFonts w:hint="eastAsia" w:ascii="Times New Roman" w:hAnsi="Times New Roman" w:eastAsia="宋体" w:cs="Times New Roman"/>
          <w:i w:val="0"/>
          <w:caps w:val="0"/>
          <w:color w:val="auto"/>
          <w:spacing w:val="0"/>
          <w:sz w:val="27"/>
          <w:szCs w:val="27"/>
          <w:highlight w:val="none"/>
          <w:shd w:val="clear" w:color="auto" w:fill="FFFFFF"/>
          <w:lang w:val="en-US" w:eastAsia="zh-CN"/>
        </w:rPr>
      </w:pPr>
    </w:p>
    <w:p>
      <w:pPr>
        <w:pStyle w:val="3"/>
        <w:pageBreakBefore w:val="0"/>
        <w:kinsoku/>
        <w:wordWrap/>
        <w:overflowPunct/>
        <w:topLinePunct w:val="0"/>
        <w:autoSpaceDE/>
        <w:autoSpaceDN/>
        <w:bidi w:val="0"/>
        <w:adjustRightInd/>
        <w:snapToGrid/>
        <w:spacing w:before="0" w:beforeLines="0" w:after="0" w:afterLines="0" w:line="576" w:lineRule="exact"/>
        <w:textAlignment w:val="auto"/>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rPr>
        <w:t xml:space="preserve">第一章 </w:t>
      </w:r>
      <w:r>
        <w:rPr>
          <w:rFonts w:hint="eastAsia" w:ascii="黑体" w:hAnsi="黑体" w:eastAsia="黑体" w:cs="黑体"/>
          <w:b w:val="0"/>
          <w:bCs w:val="0"/>
          <w:color w:val="auto"/>
          <w:sz w:val="32"/>
          <w:szCs w:val="32"/>
          <w:highlight w:val="none"/>
          <w:lang w:val="en-US" w:eastAsia="zh-CN"/>
        </w:rPr>
        <w:t xml:space="preserve"> </w:t>
      </w:r>
      <w:r>
        <w:rPr>
          <w:rFonts w:hint="eastAsia" w:ascii="黑体" w:hAnsi="黑体" w:eastAsia="黑体" w:cs="黑体"/>
          <w:b w:val="0"/>
          <w:bCs w:val="0"/>
          <w:color w:val="auto"/>
          <w:sz w:val="32"/>
          <w:szCs w:val="32"/>
          <w:highlight w:val="none"/>
        </w:rPr>
        <w:t>总</w:t>
      </w:r>
      <w:r>
        <w:rPr>
          <w:rFonts w:hint="eastAsia" w:ascii="黑体" w:hAnsi="黑体" w:eastAsia="黑体" w:cs="黑体"/>
          <w:b w:val="0"/>
          <w:bCs w:val="0"/>
          <w:color w:val="auto"/>
          <w:sz w:val="32"/>
          <w:szCs w:val="32"/>
          <w:highlight w:val="none"/>
          <w:lang w:val="en-US" w:eastAsia="zh-CN"/>
        </w:rPr>
        <w:t xml:space="preserve">  </w:t>
      </w:r>
      <w:r>
        <w:rPr>
          <w:rFonts w:hint="eastAsia" w:ascii="黑体" w:hAnsi="黑体" w:eastAsia="黑体" w:cs="黑体"/>
          <w:b w:val="0"/>
          <w:bCs w:val="0"/>
          <w:color w:val="auto"/>
          <w:sz w:val="32"/>
          <w:szCs w:val="32"/>
          <w:highlight w:val="none"/>
        </w:rPr>
        <w:t>则</w:t>
      </w:r>
    </w:p>
    <w:p>
      <w:pPr>
        <w:pageBreakBefore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color w:val="auto"/>
          <w:sz w:val="32"/>
          <w:szCs w:val="32"/>
          <w:highlight w:val="none"/>
          <w:lang w:val="en-US" w:eastAsia="zh-CN"/>
        </w:rPr>
      </w:pPr>
    </w:p>
    <w:p>
      <w:pPr>
        <w:pageBreakBefore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第一条</w:t>
      </w:r>
      <w:r>
        <w:rPr>
          <w:rFonts w:hint="eastAsia" w:ascii="仿宋_GB2312" w:hAnsi="仿宋_GB2312" w:eastAsia="仿宋_GB2312" w:cs="仿宋_GB2312"/>
          <w:b w:val="0"/>
          <w:bCs w:val="0"/>
          <w:color w:val="auto"/>
          <w:sz w:val="32"/>
          <w:szCs w:val="32"/>
          <w:highlight w:val="none"/>
          <w:lang w:val="en-US" w:eastAsia="zh-CN"/>
        </w:rPr>
        <w:t xml:space="preserve">  </w:t>
      </w:r>
      <w:r>
        <w:rPr>
          <w:rFonts w:hint="eastAsia" w:ascii="仿宋_GB2312" w:hAnsi="仿宋_GB2312" w:eastAsia="仿宋_GB2312" w:cs="仿宋_GB2312"/>
          <w:b w:val="0"/>
          <w:bCs w:val="0"/>
          <w:color w:val="auto"/>
          <w:kern w:val="2"/>
          <w:sz w:val="32"/>
          <w:szCs w:val="32"/>
          <w:highlight w:val="none"/>
          <w:lang w:val="en-US" w:eastAsia="zh-CN" w:bidi="ar-SA"/>
        </w:rPr>
        <w:t>为了加强对镇康县农村饮水安全工程的运行管理，全面提高工程运行管理水平，确保工程良性运行和持续发挥效益。根据《中华人民共和国水法》、《云南省实施&lt;中华人民共和国水法&gt;办法》、《云南省水利工程管理条例》和《临沧市农村饮水安全工程建设管理办法实施细则》等有关规定，结合镇康县农村饮水安全工程运行管理实际，制定本方案。</w:t>
      </w:r>
    </w:p>
    <w:p>
      <w:pPr>
        <w:pageBreakBefore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黑体" w:hAnsi="黑体" w:eastAsia="黑体" w:cs="黑体"/>
          <w:b w:val="0"/>
          <w:bCs w:val="0"/>
          <w:color w:val="auto"/>
          <w:sz w:val="32"/>
          <w:szCs w:val="32"/>
          <w:highlight w:val="none"/>
          <w:lang w:val="en-US" w:eastAsia="zh-CN"/>
        </w:rPr>
        <w:t xml:space="preserve">第二条  </w:t>
      </w:r>
      <w:r>
        <w:rPr>
          <w:rFonts w:hint="eastAsia" w:ascii="仿宋_GB2312" w:hAnsi="仿宋_GB2312" w:eastAsia="仿宋_GB2312" w:cs="仿宋_GB2312"/>
          <w:b w:val="0"/>
          <w:bCs w:val="0"/>
          <w:color w:val="auto"/>
          <w:kern w:val="2"/>
          <w:sz w:val="32"/>
          <w:szCs w:val="32"/>
          <w:highlight w:val="none"/>
          <w:lang w:val="en-US" w:eastAsia="zh-CN" w:bidi="ar-SA"/>
        </w:rPr>
        <w:t>本方案适用于镇康县所有农村饮水安全工程及附属设施管理和保护，包括跨乡镇、跨行政村或自然村的集中供水工程、单村供水工程、单户供水工程和水窖等。</w:t>
      </w:r>
    </w:p>
    <w:p>
      <w:pPr>
        <w:pageBreakBefore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黑体" w:hAnsi="黑体" w:eastAsia="黑体" w:cs="黑体"/>
          <w:b w:val="0"/>
          <w:bCs w:val="0"/>
          <w:color w:val="auto"/>
          <w:sz w:val="32"/>
          <w:szCs w:val="32"/>
          <w:highlight w:val="none"/>
          <w:lang w:val="en-US" w:eastAsia="zh-CN"/>
        </w:rPr>
        <w:t>第三条</w:t>
      </w:r>
      <w:r>
        <w:rPr>
          <w:rFonts w:hint="eastAsia" w:ascii="仿宋_GB2312" w:hAnsi="仿宋_GB2312" w:eastAsia="仿宋_GB2312" w:cs="仿宋_GB2312"/>
          <w:b w:val="0"/>
          <w:bCs w:val="0"/>
          <w:color w:val="auto"/>
          <w:sz w:val="32"/>
          <w:szCs w:val="32"/>
          <w:highlight w:val="none"/>
          <w:lang w:val="en-US" w:eastAsia="zh-CN"/>
        </w:rPr>
        <w:t xml:space="preserve">  </w:t>
      </w:r>
      <w:r>
        <w:rPr>
          <w:rFonts w:hint="eastAsia" w:ascii="仿宋_GB2312" w:hAnsi="仿宋_GB2312" w:eastAsia="仿宋_GB2312" w:cs="仿宋_GB2312"/>
          <w:b w:val="0"/>
          <w:bCs w:val="0"/>
          <w:color w:val="auto"/>
          <w:kern w:val="2"/>
          <w:sz w:val="32"/>
          <w:szCs w:val="32"/>
          <w:highlight w:val="none"/>
          <w:lang w:val="en-US" w:eastAsia="zh-CN" w:bidi="ar-SA"/>
        </w:rPr>
        <w:t>本方案在实行过程中如与国家法律、法规及相关政策不一致的，以国家法律、法规及相关政策为准。</w:t>
      </w:r>
    </w:p>
    <w:p>
      <w:pPr>
        <w:pStyle w:val="3"/>
        <w:pageBreakBefore w:val="0"/>
        <w:kinsoku/>
        <w:wordWrap/>
        <w:overflowPunct/>
        <w:topLinePunct w:val="0"/>
        <w:autoSpaceDE/>
        <w:autoSpaceDN/>
        <w:bidi w:val="0"/>
        <w:adjustRightInd/>
        <w:snapToGrid/>
        <w:spacing w:before="0" w:beforeLines="0" w:after="0" w:afterLines="0" w:line="576" w:lineRule="exact"/>
        <w:jc w:val="both"/>
        <w:textAlignment w:val="auto"/>
        <w:rPr>
          <w:rFonts w:hint="eastAsia" w:ascii="仿宋_GB2312" w:hAnsi="仿宋_GB2312" w:eastAsia="仿宋_GB2312" w:cs="仿宋_GB2312"/>
          <w:b w:val="0"/>
          <w:bCs w:val="0"/>
          <w:color w:val="auto"/>
          <w:sz w:val="32"/>
          <w:szCs w:val="32"/>
          <w:highlight w:val="none"/>
          <w:lang w:eastAsia="zh-CN"/>
        </w:rPr>
      </w:pPr>
    </w:p>
    <w:p>
      <w:pPr>
        <w:pStyle w:val="3"/>
        <w:pageBreakBefore w:val="0"/>
        <w:numPr>
          <w:ilvl w:val="0"/>
          <w:numId w:val="1"/>
        </w:numPr>
        <w:kinsoku/>
        <w:wordWrap/>
        <w:overflowPunct/>
        <w:topLinePunct w:val="0"/>
        <w:autoSpaceDE/>
        <w:autoSpaceDN/>
        <w:bidi w:val="0"/>
        <w:adjustRightInd/>
        <w:snapToGrid/>
        <w:spacing w:before="0" w:beforeLines="0" w:after="0" w:afterLines="0" w:line="576" w:lineRule="exact"/>
        <w:jc w:val="center"/>
        <w:textAlignment w:val="auto"/>
        <w:rPr>
          <w:rFonts w:hint="eastAsia" w:ascii="黑体" w:hAnsi="黑体" w:eastAsia="黑体" w:cs="黑体"/>
          <w:b w:val="0"/>
          <w:bCs w:val="0"/>
          <w:color w:val="auto"/>
          <w:kern w:val="2"/>
          <w:sz w:val="32"/>
          <w:szCs w:val="32"/>
          <w:highlight w:val="none"/>
          <w:lang w:val="en-US" w:eastAsia="zh-CN" w:bidi="ar-SA"/>
        </w:rPr>
      </w:pPr>
      <w:r>
        <w:rPr>
          <w:rFonts w:hint="eastAsia" w:ascii="黑体" w:hAnsi="黑体" w:eastAsia="黑体" w:cs="黑体"/>
          <w:b w:val="0"/>
          <w:bCs w:val="0"/>
          <w:color w:val="auto"/>
          <w:kern w:val="2"/>
          <w:sz w:val="32"/>
          <w:szCs w:val="32"/>
          <w:highlight w:val="none"/>
          <w:lang w:val="en-US" w:eastAsia="zh-CN" w:bidi="ar-SA"/>
        </w:rPr>
        <w:t xml:space="preserve"> 工程管理体制及职责</w:t>
      </w:r>
    </w:p>
    <w:p>
      <w:pPr>
        <w:pageBreakBefore w:val="0"/>
        <w:numPr>
          <w:ilvl w:val="0"/>
          <w:numId w:val="0"/>
        </w:numPr>
        <w:kinsoku/>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b w:val="0"/>
          <w:bCs w:val="0"/>
          <w:sz w:val="32"/>
          <w:szCs w:val="32"/>
          <w:highlight w:val="none"/>
        </w:rPr>
      </w:pPr>
    </w:p>
    <w:p>
      <w:pPr>
        <w:pageBreakBefore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黑体" w:hAnsi="黑体" w:eastAsia="黑体" w:cs="黑体"/>
          <w:b w:val="0"/>
          <w:bCs w:val="0"/>
          <w:color w:val="auto"/>
          <w:kern w:val="2"/>
          <w:sz w:val="32"/>
          <w:szCs w:val="32"/>
          <w:highlight w:val="none"/>
          <w:lang w:val="en-US" w:eastAsia="zh-CN" w:bidi="ar-SA"/>
        </w:rPr>
        <w:t xml:space="preserve">第四条  </w:t>
      </w:r>
      <w:r>
        <w:rPr>
          <w:rFonts w:hint="eastAsia" w:ascii="仿宋_GB2312" w:hAnsi="仿宋_GB2312" w:eastAsia="仿宋_GB2312" w:cs="仿宋_GB2312"/>
          <w:b w:val="0"/>
          <w:bCs w:val="0"/>
          <w:color w:val="auto"/>
          <w:kern w:val="2"/>
          <w:sz w:val="32"/>
          <w:szCs w:val="32"/>
          <w:highlight w:val="none"/>
          <w:lang w:val="en-US" w:eastAsia="zh-CN" w:bidi="ar-SA"/>
        </w:rPr>
        <w:t>产权归属及责任划分：按照小型水利工程管理体制改革要求，全县农村饮水安全工程产权均移交所属乡镇、村，确定为受益乡、村集体所有，由各乡镇水务服务中心、村委会、村民小组负责维护管理。入户工程、水窖产权属用水户所有，用水户自行管理，管理及维修费用由用水户自行承担，因管理不善造成的所有损失由用水户承担。</w:t>
      </w:r>
    </w:p>
    <w:p>
      <w:pPr>
        <w:pageBreakBefore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黑体" w:hAnsi="黑体" w:eastAsia="黑体" w:cs="黑体"/>
          <w:b w:val="0"/>
          <w:bCs w:val="0"/>
          <w:color w:val="auto"/>
          <w:kern w:val="2"/>
          <w:sz w:val="32"/>
          <w:szCs w:val="32"/>
          <w:highlight w:val="none"/>
          <w:lang w:val="en-US" w:eastAsia="zh-CN" w:bidi="ar-SA"/>
        </w:rPr>
        <w:t>第五条</w:t>
      </w:r>
      <w:r>
        <w:rPr>
          <w:rFonts w:hint="eastAsia" w:ascii="仿宋_GB2312" w:hAnsi="仿宋_GB2312" w:eastAsia="仿宋_GB2312" w:cs="仿宋_GB2312"/>
          <w:b w:val="0"/>
          <w:bCs w:val="0"/>
          <w:color w:val="auto"/>
          <w:sz w:val="32"/>
          <w:szCs w:val="32"/>
          <w:highlight w:val="none"/>
          <w:lang w:val="en-US" w:eastAsia="zh-CN"/>
        </w:rPr>
        <w:t xml:space="preserve">  </w:t>
      </w:r>
      <w:r>
        <w:rPr>
          <w:rFonts w:hint="eastAsia" w:ascii="仿宋_GB2312" w:hAnsi="仿宋_GB2312" w:eastAsia="仿宋_GB2312" w:cs="仿宋_GB2312"/>
          <w:b w:val="0"/>
          <w:bCs w:val="0"/>
          <w:color w:val="auto"/>
          <w:kern w:val="2"/>
          <w:sz w:val="32"/>
          <w:szCs w:val="32"/>
          <w:highlight w:val="none"/>
          <w:lang w:val="en-US" w:eastAsia="zh-CN" w:bidi="ar-SA"/>
        </w:rPr>
        <w:t>任何单位和个人不得擅自改装、迁移、拆除农村饮水安全工程供水设施，不得从事影响农村饮水安全工程供水设施运行安全的活动。用水户新建、改建或拆迁用水设施涉及供水主体工程的，应当征得乡镇水务服务中心同意。造成供水设施损坏的，责任单位或者个人要依法赔偿。</w:t>
      </w:r>
    </w:p>
    <w:p>
      <w:pPr>
        <w:pageBreakBefore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黑体" w:hAnsi="黑体" w:eastAsia="黑体" w:cs="黑体"/>
          <w:b w:val="0"/>
          <w:bCs w:val="0"/>
          <w:color w:val="auto"/>
          <w:kern w:val="2"/>
          <w:sz w:val="32"/>
          <w:szCs w:val="32"/>
          <w:highlight w:val="none"/>
          <w:lang w:val="en-US" w:eastAsia="zh-CN" w:bidi="ar-SA"/>
        </w:rPr>
        <w:t>第六条</w:t>
      </w:r>
      <w:r>
        <w:rPr>
          <w:rFonts w:hint="eastAsia" w:ascii="仿宋_GB2312" w:hAnsi="仿宋_GB2312" w:eastAsia="仿宋_GB2312" w:cs="仿宋_GB2312"/>
          <w:b w:val="0"/>
          <w:bCs w:val="0"/>
          <w:color w:val="auto"/>
          <w:sz w:val="32"/>
          <w:szCs w:val="32"/>
          <w:highlight w:val="none"/>
          <w:lang w:val="en-US" w:eastAsia="zh-CN"/>
        </w:rPr>
        <w:t xml:space="preserve">  </w:t>
      </w:r>
      <w:r>
        <w:rPr>
          <w:rFonts w:hint="eastAsia" w:ascii="仿宋_GB2312" w:hAnsi="仿宋_GB2312" w:eastAsia="仿宋_GB2312" w:cs="仿宋_GB2312"/>
          <w:b w:val="0"/>
          <w:bCs w:val="0"/>
          <w:color w:val="auto"/>
          <w:kern w:val="2"/>
          <w:sz w:val="32"/>
          <w:szCs w:val="32"/>
          <w:highlight w:val="none"/>
          <w:lang w:val="en-US" w:eastAsia="zh-CN" w:bidi="ar-SA"/>
        </w:rPr>
        <w:t>农村饮水安全工程项目建成竣工验收后，建设单位与运行管理单位要在1个月内办理移交手续，明晰工程产权。工程移交后，运行管理单位负责对农村饮水安全工程主体部分及管道维修养护，如因外部原因造成农村饮水安全工程主体部分及管道损坏的，本着“谁破坏、谁修复”的原则，由造成破坏的单位或个人负责处理并赔偿损失。</w:t>
      </w:r>
    </w:p>
    <w:p>
      <w:pPr>
        <w:pageBreakBefore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农村饮水安全工程管护实行分级分部门负责，县水务局对农村饮水安全保障工作负总责。各乡镇、各部门密切配合，按照各自的职责，依法保障农村饮水安全工程正常运行和规范农村饮用水工程管理。</w:t>
      </w:r>
    </w:p>
    <w:p>
      <w:pPr>
        <w:pageBreakBefore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黑体" w:hAnsi="黑体" w:eastAsia="黑体" w:cs="黑体"/>
          <w:b w:val="0"/>
          <w:bCs w:val="0"/>
          <w:color w:val="auto"/>
          <w:kern w:val="2"/>
          <w:sz w:val="32"/>
          <w:szCs w:val="32"/>
          <w:highlight w:val="none"/>
          <w:lang w:val="en-US" w:eastAsia="zh-CN" w:bidi="ar-SA"/>
        </w:rPr>
        <w:t>第七条</w:t>
      </w:r>
      <w:r>
        <w:rPr>
          <w:rFonts w:hint="eastAsia" w:ascii="仿宋_GB2312" w:hAnsi="仿宋_GB2312" w:eastAsia="仿宋_GB2312" w:cs="仿宋_GB2312"/>
          <w:b w:val="0"/>
          <w:bCs w:val="0"/>
          <w:color w:val="auto"/>
          <w:sz w:val="32"/>
          <w:szCs w:val="32"/>
          <w:highlight w:val="none"/>
          <w:lang w:val="en-US" w:eastAsia="zh-CN"/>
        </w:rPr>
        <w:t xml:space="preserve">  </w:t>
      </w:r>
      <w:r>
        <w:rPr>
          <w:rFonts w:hint="eastAsia" w:ascii="仿宋_GB2312" w:hAnsi="仿宋_GB2312" w:eastAsia="仿宋_GB2312" w:cs="仿宋_GB2312"/>
          <w:b w:val="0"/>
          <w:bCs w:val="0"/>
          <w:color w:val="auto"/>
          <w:kern w:val="2"/>
          <w:sz w:val="32"/>
          <w:szCs w:val="32"/>
          <w:highlight w:val="none"/>
          <w:lang w:val="en-US" w:eastAsia="zh-CN" w:bidi="ar-SA"/>
        </w:rPr>
        <w:t>镇康县水务局是本行政区域内农村饮水安全工程运行的行政主管部门，负责农村饮水安全工程的运行监督和技术指导，协助相关部门对饮用水源地进行划分保护。</w:t>
      </w:r>
    </w:p>
    <w:p>
      <w:pPr>
        <w:pageBreakBefore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黑体" w:hAnsi="黑体" w:eastAsia="黑体" w:cs="黑体"/>
          <w:b w:val="0"/>
          <w:bCs w:val="0"/>
          <w:color w:val="auto"/>
          <w:kern w:val="2"/>
          <w:sz w:val="32"/>
          <w:szCs w:val="32"/>
          <w:highlight w:val="none"/>
          <w:lang w:val="en-US" w:eastAsia="zh-CN" w:bidi="ar-SA"/>
        </w:rPr>
        <w:t>第八条</w:t>
      </w:r>
      <w:r>
        <w:rPr>
          <w:rFonts w:hint="eastAsia" w:ascii="仿宋_GB2312" w:hAnsi="仿宋_GB2312" w:eastAsia="仿宋_GB2312" w:cs="仿宋_GB2312"/>
          <w:b w:val="0"/>
          <w:bCs w:val="0"/>
          <w:color w:val="auto"/>
          <w:sz w:val="32"/>
          <w:szCs w:val="32"/>
          <w:highlight w:val="none"/>
          <w:lang w:val="en-US" w:eastAsia="zh-CN"/>
        </w:rPr>
        <w:t xml:space="preserve">  </w:t>
      </w:r>
      <w:r>
        <w:rPr>
          <w:rFonts w:hint="eastAsia" w:ascii="仿宋_GB2312" w:hAnsi="仿宋_GB2312" w:eastAsia="仿宋_GB2312" w:cs="仿宋_GB2312"/>
          <w:b w:val="0"/>
          <w:bCs w:val="0"/>
          <w:color w:val="auto"/>
          <w:kern w:val="2"/>
          <w:sz w:val="32"/>
          <w:szCs w:val="32"/>
          <w:highlight w:val="none"/>
          <w:lang w:val="en-US" w:eastAsia="zh-CN" w:bidi="ar-SA"/>
        </w:rPr>
        <w:t>镇康县财政局按相关规定要求，负责安排农村饮水安全工程维修管护资金，并加强对资金使用监管。</w:t>
      </w:r>
    </w:p>
    <w:p>
      <w:pPr>
        <w:pageBreakBefore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黑体" w:hAnsi="黑体" w:eastAsia="黑体" w:cs="黑体"/>
          <w:b w:val="0"/>
          <w:bCs w:val="0"/>
          <w:color w:val="auto"/>
          <w:kern w:val="2"/>
          <w:sz w:val="32"/>
          <w:szCs w:val="32"/>
          <w:highlight w:val="none"/>
          <w:lang w:val="en-US" w:eastAsia="zh-CN" w:bidi="ar-SA"/>
        </w:rPr>
        <w:t>第九条</w:t>
      </w:r>
      <w:r>
        <w:rPr>
          <w:rFonts w:hint="eastAsia" w:ascii="仿宋_GB2312" w:hAnsi="仿宋_GB2312" w:eastAsia="仿宋_GB2312" w:cs="仿宋_GB2312"/>
          <w:b w:val="0"/>
          <w:bCs w:val="0"/>
          <w:color w:val="auto"/>
          <w:sz w:val="32"/>
          <w:szCs w:val="32"/>
          <w:highlight w:val="none"/>
          <w:lang w:val="en-US" w:eastAsia="zh-CN"/>
        </w:rPr>
        <w:t xml:space="preserve">  </w:t>
      </w:r>
      <w:r>
        <w:rPr>
          <w:rFonts w:hint="eastAsia" w:ascii="仿宋_GB2312" w:hAnsi="仿宋_GB2312" w:eastAsia="仿宋_GB2312" w:cs="仿宋_GB2312"/>
          <w:b w:val="0"/>
          <w:bCs w:val="0"/>
          <w:color w:val="auto"/>
          <w:kern w:val="2"/>
          <w:sz w:val="32"/>
          <w:szCs w:val="32"/>
          <w:highlight w:val="none"/>
          <w:lang w:val="en-US" w:eastAsia="zh-CN" w:bidi="ar-SA"/>
        </w:rPr>
        <w:t>镇康县卫生健康局负责农村供水卫生监督和水质监管工作。</w:t>
      </w:r>
    </w:p>
    <w:p>
      <w:pPr>
        <w:pageBreakBefore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黑体" w:hAnsi="黑体" w:eastAsia="黑体" w:cs="黑体"/>
          <w:b w:val="0"/>
          <w:bCs w:val="0"/>
          <w:color w:val="auto"/>
          <w:kern w:val="2"/>
          <w:sz w:val="32"/>
          <w:szCs w:val="32"/>
          <w:highlight w:val="none"/>
          <w:lang w:val="en-US" w:eastAsia="zh-CN" w:bidi="ar-SA"/>
        </w:rPr>
        <w:t>第十条</w:t>
      </w:r>
      <w:r>
        <w:rPr>
          <w:rFonts w:hint="eastAsia" w:ascii="仿宋_GB2312" w:hAnsi="仿宋_GB2312" w:eastAsia="仿宋_GB2312" w:cs="仿宋_GB2312"/>
          <w:b w:val="0"/>
          <w:bCs w:val="0"/>
          <w:color w:val="auto"/>
          <w:sz w:val="32"/>
          <w:szCs w:val="32"/>
          <w:highlight w:val="none"/>
          <w:lang w:val="en-US" w:eastAsia="zh-CN"/>
        </w:rPr>
        <w:t xml:space="preserve">  </w:t>
      </w:r>
      <w:r>
        <w:rPr>
          <w:rFonts w:hint="eastAsia" w:ascii="仿宋_GB2312" w:hAnsi="仿宋_GB2312" w:eastAsia="仿宋_GB2312" w:cs="仿宋_GB2312"/>
          <w:b w:val="0"/>
          <w:bCs w:val="0"/>
          <w:color w:val="auto"/>
          <w:kern w:val="2"/>
          <w:sz w:val="32"/>
          <w:szCs w:val="32"/>
          <w:highlight w:val="none"/>
          <w:lang w:val="en-US" w:eastAsia="zh-CN" w:bidi="ar-SA"/>
        </w:rPr>
        <w:t>临沧市生态环境局镇康分局负责对饮用水水源地的环境保护和污染防治，加强饮用水源地环境质量及污染源的监控，对饮用水源地的污染防治实行监督管理。</w:t>
      </w:r>
    </w:p>
    <w:p>
      <w:pPr>
        <w:pageBreakBefore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黑体" w:hAnsi="黑体" w:eastAsia="黑体" w:cs="黑体"/>
          <w:b w:val="0"/>
          <w:bCs w:val="0"/>
          <w:color w:val="auto"/>
          <w:kern w:val="2"/>
          <w:sz w:val="32"/>
          <w:szCs w:val="32"/>
          <w:highlight w:val="none"/>
          <w:lang w:val="en-US" w:eastAsia="zh-CN" w:bidi="ar-SA"/>
        </w:rPr>
        <w:t>第十一条</w:t>
      </w:r>
      <w:r>
        <w:rPr>
          <w:rFonts w:hint="eastAsia" w:ascii="仿宋_GB2312" w:hAnsi="仿宋_GB2312" w:eastAsia="仿宋_GB2312" w:cs="仿宋_GB2312"/>
          <w:b w:val="0"/>
          <w:bCs w:val="0"/>
          <w:color w:val="auto"/>
          <w:sz w:val="32"/>
          <w:szCs w:val="32"/>
          <w:highlight w:val="none"/>
          <w:lang w:val="en-US" w:eastAsia="zh-CN"/>
        </w:rPr>
        <w:t xml:space="preserve">  </w:t>
      </w:r>
      <w:r>
        <w:rPr>
          <w:rFonts w:hint="eastAsia" w:ascii="仿宋_GB2312" w:hAnsi="仿宋_GB2312" w:eastAsia="仿宋_GB2312" w:cs="仿宋_GB2312"/>
          <w:b w:val="0"/>
          <w:bCs w:val="0"/>
          <w:color w:val="auto"/>
          <w:kern w:val="2"/>
          <w:sz w:val="32"/>
          <w:szCs w:val="32"/>
          <w:highlight w:val="none"/>
          <w:lang w:val="en-US" w:eastAsia="zh-CN" w:bidi="ar-SA"/>
        </w:rPr>
        <w:t>镇康县发展和改革局负责供水水价的核定和监管。</w:t>
      </w:r>
    </w:p>
    <w:p>
      <w:pPr>
        <w:pageBreakBefore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黑体" w:hAnsi="黑体" w:eastAsia="黑体" w:cs="黑体"/>
          <w:b w:val="0"/>
          <w:bCs w:val="0"/>
          <w:color w:val="auto"/>
          <w:sz w:val="32"/>
          <w:szCs w:val="32"/>
          <w:highlight w:val="none"/>
          <w:lang w:eastAsia="zh-CN"/>
        </w:rPr>
        <w:t>第十二条</w:t>
      </w:r>
      <w:r>
        <w:rPr>
          <w:rFonts w:hint="eastAsia" w:ascii="仿宋_GB2312" w:hAnsi="仿宋_GB2312" w:eastAsia="仿宋_GB2312" w:cs="仿宋_GB2312"/>
          <w:b w:val="0"/>
          <w:bCs w:val="0"/>
          <w:color w:val="auto"/>
          <w:sz w:val="32"/>
          <w:szCs w:val="32"/>
          <w:highlight w:val="none"/>
          <w:lang w:val="en-US" w:eastAsia="zh-CN"/>
        </w:rPr>
        <w:t xml:space="preserve">  </w:t>
      </w:r>
      <w:r>
        <w:rPr>
          <w:rFonts w:hint="eastAsia" w:ascii="仿宋_GB2312" w:hAnsi="仿宋_GB2312" w:eastAsia="仿宋_GB2312" w:cs="仿宋_GB2312"/>
          <w:b w:val="0"/>
          <w:bCs w:val="0"/>
          <w:color w:val="auto"/>
          <w:kern w:val="2"/>
          <w:sz w:val="32"/>
          <w:szCs w:val="32"/>
          <w:highlight w:val="none"/>
          <w:lang w:val="en-US" w:eastAsia="zh-CN" w:bidi="ar-SA"/>
        </w:rPr>
        <w:t>云南电网有限责任公司临沧镇康供电局提供电力保障、落实优惠电价政策。</w:t>
      </w:r>
    </w:p>
    <w:p>
      <w:pPr>
        <w:pageBreakBefore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黑体" w:hAnsi="黑体" w:eastAsia="黑体" w:cs="黑体"/>
          <w:b w:val="0"/>
          <w:bCs w:val="0"/>
          <w:color w:val="auto"/>
          <w:sz w:val="32"/>
          <w:szCs w:val="32"/>
          <w:highlight w:val="none"/>
          <w:lang w:eastAsia="zh-CN"/>
        </w:rPr>
        <w:t>第十三条</w:t>
      </w:r>
      <w:r>
        <w:rPr>
          <w:rFonts w:hint="eastAsia" w:ascii="仿宋_GB2312" w:hAnsi="仿宋_GB2312" w:eastAsia="仿宋_GB2312" w:cs="仿宋_GB2312"/>
          <w:b w:val="0"/>
          <w:bCs w:val="0"/>
          <w:color w:val="auto"/>
          <w:sz w:val="32"/>
          <w:szCs w:val="32"/>
          <w:highlight w:val="none"/>
          <w:lang w:val="en-US" w:eastAsia="zh-CN"/>
        </w:rPr>
        <w:t xml:space="preserve">  </w:t>
      </w:r>
      <w:r>
        <w:rPr>
          <w:rFonts w:hint="eastAsia" w:ascii="仿宋_GB2312" w:hAnsi="仿宋_GB2312" w:eastAsia="仿宋_GB2312" w:cs="仿宋_GB2312"/>
          <w:b w:val="0"/>
          <w:bCs w:val="0"/>
          <w:color w:val="auto"/>
          <w:kern w:val="2"/>
          <w:sz w:val="32"/>
          <w:szCs w:val="32"/>
          <w:highlight w:val="none"/>
          <w:lang w:val="en-US" w:eastAsia="zh-CN" w:bidi="ar-SA"/>
        </w:rPr>
        <w:t>各乡镇人民政府负责本辖区内饮水安全工程的运行管理、使用维护工作。</w:t>
      </w:r>
    </w:p>
    <w:p>
      <w:pPr>
        <w:pageBreakBefore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农村饮水安全工程运行管理工作实行行政首长负责制，乡镇政府对辖区内农村饮水安全工程运行管理及供水安全负总责，乡镇政府主要负责人为辖区内工程建设管理的第一责任人，依法保护供水经营者、用水户的合法权益，指导督促工程运行管理单位建立健全运行管理方式，制定辖区内供水应急预案。乡镇水利管理站是饮水安全工程的具体管理单位，负责对所辖乡、村、组的工程直接管理。村委会在乡镇政府指导下，成立单个工程供水范围内的村级管护小组（村管小组）。村管小组作为工程运行管理单位负责工程日常运行管理工作。各村、组水管组织和农民用水户是该项目的受益者，具体实施对项目的维护和管理。</w:t>
      </w:r>
    </w:p>
    <w:p>
      <w:pPr>
        <w:pageBreakBefore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黑体" w:hAnsi="黑体" w:eastAsia="黑体" w:cs="黑体"/>
          <w:b w:val="0"/>
          <w:bCs w:val="0"/>
          <w:color w:val="auto"/>
          <w:sz w:val="32"/>
          <w:szCs w:val="32"/>
          <w:highlight w:val="none"/>
          <w:lang w:eastAsia="zh-CN"/>
        </w:rPr>
        <w:t>第十四条</w:t>
      </w:r>
      <w:r>
        <w:rPr>
          <w:rFonts w:hint="eastAsia" w:ascii="仿宋_GB2312" w:hAnsi="仿宋_GB2312" w:eastAsia="仿宋_GB2312" w:cs="仿宋_GB2312"/>
          <w:b w:val="0"/>
          <w:bCs w:val="0"/>
          <w:color w:val="auto"/>
          <w:sz w:val="32"/>
          <w:szCs w:val="32"/>
          <w:highlight w:val="none"/>
          <w:lang w:val="en-US" w:eastAsia="zh-CN"/>
        </w:rPr>
        <w:t xml:space="preserve">  </w:t>
      </w:r>
      <w:r>
        <w:rPr>
          <w:rFonts w:hint="eastAsia" w:ascii="仿宋_GB2312" w:hAnsi="仿宋_GB2312" w:eastAsia="仿宋_GB2312" w:cs="仿宋_GB2312"/>
          <w:b w:val="0"/>
          <w:bCs w:val="0"/>
          <w:color w:val="auto"/>
          <w:kern w:val="2"/>
          <w:sz w:val="32"/>
          <w:szCs w:val="32"/>
          <w:highlight w:val="none"/>
          <w:lang w:val="en-US" w:eastAsia="zh-CN" w:bidi="ar-SA"/>
        </w:rPr>
        <w:t>镇康县审计局对农村饮水安全项目建设、管理、资金使用情况进行监督审计。</w:t>
      </w:r>
    </w:p>
    <w:p>
      <w:pPr>
        <w:pageBreakBefore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黑体" w:hAnsi="黑体" w:eastAsia="黑体" w:cs="黑体"/>
          <w:b w:val="0"/>
          <w:bCs w:val="0"/>
          <w:color w:val="auto"/>
          <w:sz w:val="32"/>
          <w:szCs w:val="32"/>
          <w:highlight w:val="none"/>
          <w:lang w:eastAsia="zh-CN"/>
        </w:rPr>
        <w:t>第十五条</w:t>
      </w:r>
      <w:r>
        <w:rPr>
          <w:rFonts w:hint="eastAsia" w:ascii="黑体" w:hAnsi="黑体" w:eastAsia="黑体" w:cs="黑体"/>
          <w:b w:val="0"/>
          <w:bCs w:val="0"/>
          <w:color w:val="auto"/>
          <w:sz w:val="32"/>
          <w:szCs w:val="32"/>
          <w:highlight w:val="none"/>
          <w:lang w:val="en-US" w:eastAsia="zh-CN"/>
        </w:rPr>
        <w:t xml:space="preserve"> </w:t>
      </w:r>
      <w:r>
        <w:rPr>
          <w:rFonts w:hint="eastAsia" w:ascii="仿宋_GB2312" w:hAnsi="仿宋_GB2312" w:eastAsia="仿宋_GB2312" w:cs="仿宋_GB2312"/>
          <w:b w:val="0"/>
          <w:bCs w:val="0"/>
          <w:color w:val="auto"/>
          <w:sz w:val="32"/>
          <w:szCs w:val="32"/>
          <w:highlight w:val="none"/>
          <w:lang w:val="en-US" w:eastAsia="zh-CN"/>
        </w:rPr>
        <w:t xml:space="preserve"> </w:t>
      </w:r>
      <w:r>
        <w:rPr>
          <w:rFonts w:hint="eastAsia" w:ascii="仿宋_GB2312" w:hAnsi="仿宋_GB2312" w:eastAsia="仿宋_GB2312" w:cs="仿宋_GB2312"/>
          <w:b w:val="0"/>
          <w:bCs w:val="0"/>
          <w:color w:val="auto"/>
          <w:kern w:val="2"/>
          <w:sz w:val="32"/>
          <w:szCs w:val="32"/>
          <w:highlight w:val="none"/>
          <w:lang w:val="en-US" w:eastAsia="zh-CN" w:bidi="ar-SA"/>
        </w:rPr>
        <w:t>镇康县自然资源局协调做好农村饮水安全工程用地审批并执行相关优惠政策。</w:t>
      </w:r>
    </w:p>
    <w:p>
      <w:pPr>
        <w:pageBreakBefore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黑体" w:hAnsi="黑体" w:eastAsia="黑体" w:cs="黑体"/>
          <w:b w:val="0"/>
          <w:bCs w:val="0"/>
          <w:color w:val="auto"/>
          <w:sz w:val="32"/>
          <w:szCs w:val="32"/>
          <w:highlight w:val="none"/>
          <w:lang w:eastAsia="zh-CN"/>
        </w:rPr>
        <w:t>第十六条</w:t>
      </w:r>
      <w:r>
        <w:rPr>
          <w:rFonts w:hint="eastAsia" w:ascii="黑体" w:hAnsi="黑体" w:eastAsia="黑体" w:cs="黑体"/>
          <w:b w:val="0"/>
          <w:bCs w:val="0"/>
          <w:color w:val="auto"/>
          <w:sz w:val="32"/>
          <w:szCs w:val="32"/>
          <w:highlight w:val="none"/>
          <w:lang w:val="en-US" w:eastAsia="zh-CN"/>
        </w:rPr>
        <w:t xml:space="preserve"> </w:t>
      </w:r>
      <w:r>
        <w:rPr>
          <w:rFonts w:hint="eastAsia" w:ascii="仿宋_GB2312" w:hAnsi="仿宋_GB2312" w:eastAsia="仿宋_GB2312" w:cs="仿宋_GB2312"/>
          <w:b w:val="0"/>
          <w:bCs w:val="0"/>
          <w:color w:val="auto"/>
          <w:sz w:val="32"/>
          <w:szCs w:val="32"/>
          <w:highlight w:val="none"/>
          <w:lang w:val="en-US" w:eastAsia="zh-CN"/>
        </w:rPr>
        <w:t xml:space="preserve"> </w:t>
      </w:r>
      <w:r>
        <w:rPr>
          <w:rFonts w:hint="eastAsia" w:ascii="仿宋_GB2312" w:hAnsi="仿宋_GB2312" w:eastAsia="仿宋_GB2312" w:cs="仿宋_GB2312"/>
          <w:b w:val="0"/>
          <w:bCs w:val="0"/>
          <w:color w:val="auto"/>
          <w:kern w:val="2"/>
          <w:sz w:val="32"/>
          <w:szCs w:val="32"/>
          <w:highlight w:val="none"/>
          <w:lang w:val="en-US" w:eastAsia="zh-CN" w:bidi="ar-SA"/>
        </w:rPr>
        <w:t>镇康县住房和城乡建设局做好城市管网延伸配套工程和项目选址审批。</w:t>
      </w:r>
    </w:p>
    <w:p>
      <w:pPr>
        <w:pageBreakBefore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黑体" w:hAnsi="黑体" w:eastAsia="黑体" w:cs="黑体"/>
          <w:b w:val="0"/>
          <w:bCs w:val="0"/>
          <w:color w:val="auto"/>
          <w:sz w:val="32"/>
          <w:szCs w:val="32"/>
          <w:highlight w:val="none"/>
          <w:lang w:eastAsia="zh-CN"/>
        </w:rPr>
        <w:t>第十七条</w:t>
      </w:r>
      <w:r>
        <w:rPr>
          <w:rFonts w:hint="eastAsia" w:ascii="仿宋_GB2312" w:hAnsi="仿宋_GB2312" w:eastAsia="仿宋_GB2312" w:cs="仿宋_GB2312"/>
          <w:b w:val="0"/>
          <w:bCs w:val="0"/>
          <w:color w:val="auto"/>
          <w:sz w:val="32"/>
          <w:szCs w:val="32"/>
          <w:highlight w:val="none"/>
          <w:lang w:val="en-US" w:eastAsia="zh-CN"/>
        </w:rPr>
        <w:t xml:space="preserve">  </w:t>
      </w:r>
      <w:r>
        <w:rPr>
          <w:rFonts w:hint="eastAsia" w:ascii="仿宋_GB2312" w:hAnsi="仿宋_GB2312" w:eastAsia="仿宋_GB2312" w:cs="仿宋_GB2312"/>
          <w:b w:val="0"/>
          <w:bCs w:val="0"/>
          <w:color w:val="auto"/>
          <w:kern w:val="2"/>
          <w:sz w:val="32"/>
          <w:szCs w:val="32"/>
          <w:highlight w:val="none"/>
          <w:lang w:val="en-US" w:eastAsia="zh-CN" w:bidi="ar-SA"/>
        </w:rPr>
        <w:t>镇康县水利工程管理站是本行政区域内农村饮水安全工程的行业管理部门，隶属县水务局。其职责为：</w:t>
      </w:r>
    </w:p>
    <w:p>
      <w:pPr>
        <w:pageBreakBefore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sz w:val="32"/>
          <w:szCs w:val="32"/>
          <w:highlight w:val="none"/>
        </w:rPr>
        <w:t>1.</w:t>
      </w:r>
      <w:r>
        <w:rPr>
          <w:rFonts w:hint="eastAsia" w:ascii="仿宋_GB2312" w:hAnsi="仿宋_GB2312" w:eastAsia="仿宋_GB2312" w:cs="仿宋_GB2312"/>
          <w:b w:val="0"/>
          <w:bCs w:val="0"/>
          <w:color w:val="auto"/>
          <w:kern w:val="2"/>
          <w:sz w:val="32"/>
          <w:szCs w:val="32"/>
          <w:highlight w:val="none"/>
          <w:lang w:val="en-US" w:eastAsia="zh-CN" w:bidi="ar-SA"/>
        </w:rPr>
        <w:t>管理全县已建水利工程，逐项建档立卡，全面掌握各项水利工程的基本状况、工程效益，鉴定各项工程的完好程度。</w:t>
      </w:r>
    </w:p>
    <w:p>
      <w:pPr>
        <w:pageBreakBefore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sz w:val="32"/>
          <w:szCs w:val="32"/>
          <w:highlight w:val="none"/>
        </w:rPr>
        <w:t>2.</w:t>
      </w:r>
      <w:r>
        <w:rPr>
          <w:rFonts w:hint="eastAsia" w:ascii="仿宋_GB2312" w:hAnsi="仿宋_GB2312" w:eastAsia="仿宋_GB2312" w:cs="仿宋_GB2312"/>
          <w:b w:val="0"/>
          <w:bCs w:val="0"/>
          <w:color w:val="auto"/>
          <w:kern w:val="2"/>
          <w:sz w:val="32"/>
          <w:szCs w:val="32"/>
          <w:highlight w:val="none"/>
          <w:lang w:val="en-US" w:eastAsia="zh-CN" w:bidi="ar-SA"/>
        </w:rPr>
        <w:t>重点抓好水利体制改革，广泛宣传，发动群众，对运行正常的水利工程，采取租赁、承包、拍卖等方式，管护一次性到位，督促落实管护责任。</w:t>
      </w:r>
    </w:p>
    <w:p>
      <w:pPr>
        <w:pageBreakBefore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sz w:val="32"/>
          <w:szCs w:val="32"/>
          <w:highlight w:val="none"/>
        </w:rPr>
        <w:t>3.</w:t>
      </w:r>
      <w:r>
        <w:rPr>
          <w:rFonts w:hint="eastAsia" w:ascii="仿宋_GB2312" w:hAnsi="仿宋_GB2312" w:eastAsia="仿宋_GB2312" w:cs="仿宋_GB2312"/>
          <w:b w:val="0"/>
          <w:bCs w:val="0"/>
          <w:color w:val="auto"/>
          <w:kern w:val="2"/>
          <w:sz w:val="32"/>
          <w:szCs w:val="32"/>
          <w:highlight w:val="none"/>
          <w:lang w:val="en-US" w:eastAsia="zh-CN" w:bidi="ar-SA"/>
        </w:rPr>
        <w:t>做好报废工程清理、效益核检、设备回收等工作。对运行不正常，损坏较轻的工程，认真做好维修计划，申报争取维修资金，落实维修责任。</w:t>
      </w:r>
    </w:p>
    <w:p>
      <w:pPr>
        <w:pageBreakBefore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黑体" w:hAnsi="黑体" w:eastAsia="黑体" w:cs="黑体"/>
          <w:b w:val="0"/>
          <w:bCs w:val="0"/>
          <w:color w:val="auto"/>
          <w:sz w:val="32"/>
          <w:szCs w:val="32"/>
          <w:highlight w:val="none"/>
          <w:lang w:eastAsia="zh-CN"/>
        </w:rPr>
        <w:t>第十八条</w:t>
      </w:r>
      <w:r>
        <w:rPr>
          <w:rFonts w:hint="eastAsia" w:ascii="仿宋_GB2312" w:hAnsi="仿宋_GB2312" w:eastAsia="仿宋_GB2312" w:cs="仿宋_GB2312"/>
          <w:b w:val="0"/>
          <w:bCs w:val="0"/>
          <w:color w:val="auto"/>
          <w:sz w:val="32"/>
          <w:szCs w:val="32"/>
          <w:highlight w:val="none"/>
          <w:lang w:val="en-US" w:eastAsia="zh-CN"/>
        </w:rPr>
        <w:t xml:space="preserve">  </w:t>
      </w:r>
      <w:r>
        <w:rPr>
          <w:rFonts w:hint="eastAsia" w:ascii="仿宋_GB2312" w:hAnsi="仿宋_GB2312" w:eastAsia="仿宋_GB2312" w:cs="仿宋_GB2312"/>
          <w:b w:val="0"/>
          <w:bCs w:val="0"/>
          <w:color w:val="auto"/>
          <w:kern w:val="2"/>
          <w:sz w:val="32"/>
          <w:szCs w:val="32"/>
          <w:highlight w:val="none"/>
          <w:lang w:val="en-US" w:eastAsia="zh-CN" w:bidi="ar-SA"/>
        </w:rPr>
        <w:t>各乡镇要成立农村饮水安全工程运行管理领导小组，由政府负责人担任组长，工作人员由驻村干部和村干部组成。健全各乡镇水利工程管理站（以下简称乡镇水管站），具体开展本区域安全饮水管理工作。其职责为:</w:t>
      </w:r>
    </w:p>
    <w:p>
      <w:pPr>
        <w:pageBreakBefore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sz w:val="32"/>
          <w:szCs w:val="32"/>
          <w:highlight w:val="none"/>
        </w:rPr>
        <w:t>1.</w:t>
      </w:r>
      <w:r>
        <w:rPr>
          <w:rFonts w:hint="eastAsia" w:ascii="仿宋_GB2312" w:hAnsi="仿宋_GB2312" w:eastAsia="仿宋_GB2312" w:cs="仿宋_GB2312"/>
          <w:b w:val="0"/>
          <w:bCs w:val="0"/>
          <w:color w:val="auto"/>
          <w:kern w:val="2"/>
          <w:sz w:val="32"/>
          <w:szCs w:val="32"/>
          <w:highlight w:val="none"/>
          <w:lang w:val="en-US" w:eastAsia="zh-CN" w:bidi="ar-SA"/>
        </w:rPr>
        <w:t>乡镇应建立健全工程运行管理、水费收缴制度，做好运行管理日志，定期巡查，确保供水设施安全运行。对管理人员进行业务培训和考核，调动员工积极性，规范管理行为，提高工程效益和管理水平。</w:t>
      </w:r>
    </w:p>
    <w:p>
      <w:pPr>
        <w:pageBreakBefore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sz w:val="32"/>
          <w:szCs w:val="32"/>
          <w:highlight w:val="none"/>
        </w:rPr>
        <w:t>2.</w:t>
      </w:r>
      <w:r>
        <w:rPr>
          <w:rFonts w:hint="eastAsia" w:ascii="仿宋_GB2312" w:hAnsi="仿宋_GB2312" w:eastAsia="仿宋_GB2312" w:cs="仿宋_GB2312"/>
          <w:b w:val="0"/>
          <w:bCs w:val="0"/>
          <w:color w:val="auto"/>
          <w:kern w:val="2"/>
          <w:sz w:val="32"/>
          <w:szCs w:val="32"/>
          <w:highlight w:val="none"/>
          <w:lang w:val="en-US" w:eastAsia="zh-CN" w:bidi="ar-SA"/>
        </w:rPr>
        <w:t>乡镇要积极配合临沧市生态环境局镇康分局对供水水源的管理，按照国家和省上有关规定，对工程供水水源保护区和工程管护范围采取相应的保护措施，并经常巡查，及时处理影响水源安全的问题。</w:t>
      </w:r>
    </w:p>
    <w:p>
      <w:pPr>
        <w:pageBreakBefore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3.负责本区域内农村饮水安全工程及附属设施的管理、维修和养护，并为村组、用水户提供技术服务，保证本区域供水工程正常安全运行。</w:t>
      </w:r>
    </w:p>
    <w:p>
      <w:pPr>
        <w:pageBreakBefore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sz w:val="32"/>
          <w:szCs w:val="32"/>
          <w:highlight w:val="none"/>
        </w:rPr>
        <w:t>4.</w:t>
      </w:r>
      <w:r>
        <w:rPr>
          <w:rFonts w:hint="eastAsia" w:ascii="仿宋_GB2312" w:hAnsi="仿宋_GB2312" w:eastAsia="仿宋_GB2312" w:cs="仿宋_GB2312"/>
          <w:b w:val="0"/>
          <w:bCs w:val="0"/>
          <w:color w:val="auto"/>
          <w:kern w:val="2"/>
          <w:sz w:val="32"/>
          <w:szCs w:val="32"/>
          <w:highlight w:val="none"/>
          <w:lang w:val="en-US" w:eastAsia="zh-CN" w:bidi="ar-SA"/>
        </w:rPr>
        <w:t>做好饮水安全工程受益村组的各项协调工作及群众纠纷处理。</w:t>
      </w:r>
    </w:p>
    <w:p>
      <w:pPr>
        <w:pageBreakBefore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sz w:val="32"/>
          <w:szCs w:val="32"/>
          <w:highlight w:val="none"/>
        </w:rPr>
        <w:t>5.</w:t>
      </w:r>
      <w:r>
        <w:rPr>
          <w:rFonts w:hint="eastAsia" w:ascii="仿宋_GB2312" w:hAnsi="仿宋_GB2312" w:eastAsia="仿宋_GB2312" w:cs="仿宋_GB2312"/>
          <w:b w:val="0"/>
          <w:bCs w:val="0"/>
          <w:color w:val="auto"/>
          <w:kern w:val="2"/>
          <w:sz w:val="32"/>
          <w:szCs w:val="32"/>
          <w:highlight w:val="none"/>
          <w:lang w:val="en-US" w:eastAsia="zh-CN" w:bidi="ar-SA"/>
        </w:rPr>
        <w:t>负责组织村、组及用水户对工程进行维护管理，督促用水户水费收缴工作。</w:t>
      </w:r>
    </w:p>
    <w:p>
      <w:pPr>
        <w:pageBreakBefore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sz w:val="32"/>
          <w:szCs w:val="32"/>
          <w:highlight w:val="none"/>
        </w:rPr>
        <w:t>6.</w:t>
      </w:r>
      <w:r>
        <w:rPr>
          <w:rFonts w:hint="eastAsia" w:ascii="仿宋_GB2312" w:hAnsi="仿宋_GB2312" w:eastAsia="仿宋_GB2312" w:cs="仿宋_GB2312"/>
          <w:b w:val="0"/>
          <w:bCs w:val="0"/>
          <w:color w:val="auto"/>
          <w:kern w:val="2"/>
          <w:sz w:val="32"/>
          <w:szCs w:val="32"/>
          <w:highlight w:val="none"/>
          <w:lang w:val="en-US" w:eastAsia="zh-CN" w:bidi="ar-SA"/>
        </w:rPr>
        <w:t>配合各部门依法履行各自的职责。</w:t>
      </w:r>
    </w:p>
    <w:p>
      <w:pPr>
        <w:pageBreakBefore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sz w:val="32"/>
          <w:szCs w:val="32"/>
          <w:highlight w:val="none"/>
        </w:rPr>
        <w:t>7.</w:t>
      </w:r>
      <w:r>
        <w:rPr>
          <w:rFonts w:hint="eastAsia" w:ascii="仿宋_GB2312" w:hAnsi="仿宋_GB2312" w:eastAsia="仿宋_GB2312" w:cs="仿宋_GB2312"/>
          <w:b w:val="0"/>
          <w:bCs w:val="0"/>
          <w:color w:val="auto"/>
          <w:kern w:val="2"/>
          <w:sz w:val="32"/>
          <w:szCs w:val="32"/>
          <w:highlight w:val="none"/>
          <w:lang w:val="en-US" w:eastAsia="zh-CN" w:bidi="ar-SA"/>
        </w:rPr>
        <w:t>发生管道破裂等问题时，应及时采取有效措施，妥善处理，防止造成房屋、道路、农田等水毁损失以及人身安全事故的发生,并向主管部门报告。</w:t>
      </w:r>
    </w:p>
    <w:p>
      <w:pPr>
        <w:pageBreakBefore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sz w:val="32"/>
          <w:szCs w:val="32"/>
          <w:highlight w:val="none"/>
        </w:rPr>
        <w:t>8.</w:t>
      </w:r>
      <w:r>
        <w:rPr>
          <w:rFonts w:hint="eastAsia" w:ascii="仿宋_GB2312" w:hAnsi="仿宋_GB2312" w:eastAsia="仿宋_GB2312" w:cs="仿宋_GB2312"/>
          <w:b w:val="0"/>
          <w:bCs w:val="0"/>
          <w:color w:val="auto"/>
          <w:kern w:val="2"/>
          <w:sz w:val="32"/>
          <w:szCs w:val="32"/>
          <w:highlight w:val="none"/>
          <w:lang w:val="en-US" w:eastAsia="zh-CN" w:bidi="ar-SA"/>
        </w:rPr>
        <w:t>制定供水安全运行应急预案，对发生饮用水导致传染病等影响群众身体健康的事故时，应当立即停止供水，启动供水安全运行应急预案，及时查明原因，妥善处理，并向主管部门报告。</w:t>
      </w:r>
    </w:p>
    <w:p>
      <w:pPr>
        <w:pageBreakBefore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黑体" w:hAnsi="黑体" w:eastAsia="黑体" w:cs="黑体"/>
          <w:b w:val="0"/>
          <w:bCs w:val="0"/>
          <w:color w:val="auto"/>
          <w:sz w:val="32"/>
          <w:szCs w:val="32"/>
          <w:highlight w:val="none"/>
          <w:lang w:eastAsia="zh-CN"/>
        </w:rPr>
        <w:t>第十九条</w:t>
      </w:r>
      <w:r>
        <w:rPr>
          <w:rFonts w:hint="eastAsia" w:ascii="仿宋_GB2312" w:hAnsi="仿宋_GB2312" w:eastAsia="仿宋_GB2312" w:cs="仿宋_GB2312"/>
          <w:b w:val="0"/>
          <w:bCs w:val="0"/>
          <w:color w:val="auto"/>
          <w:sz w:val="32"/>
          <w:szCs w:val="32"/>
          <w:highlight w:val="none"/>
          <w:lang w:val="en-US" w:eastAsia="zh-CN"/>
        </w:rPr>
        <w:t xml:space="preserve">  </w:t>
      </w:r>
      <w:r>
        <w:rPr>
          <w:rFonts w:hint="eastAsia" w:ascii="仿宋_GB2312" w:hAnsi="仿宋_GB2312" w:eastAsia="仿宋_GB2312" w:cs="仿宋_GB2312"/>
          <w:b w:val="0"/>
          <w:bCs w:val="0"/>
          <w:color w:val="auto"/>
          <w:kern w:val="2"/>
          <w:sz w:val="32"/>
          <w:szCs w:val="32"/>
          <w:highlight w:val="none"/>
          <w:lang w:val="en-US" w:eastAsia="zh-CN" w:bidi="ar-SA"/>
        </w:rPr>
        <w:t>受益村要成立村级农村饮水安全工程运行管理工作小组（以下简称村管小组），由村干部担任组长，并根据本村实际情况确定水管员（组员）。其职责为:</w:t>
      </w:r>
    </w:p>
    <w:p>
      <w:pPr>
        <w:pageBreakBefore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sz w:val="32"/>
          <w:szCs w:val="32"/>
          <w:highlight w:val="none"/>
        </w:rPr>
        <w:t>1.</w:t>
      </w:r>
      <w:r>
        <w:rPr>
          <w:rFonts w:hint="eastAsia" w:ascii="仿宋_GB2312" w:hAnsi="仿宋_GB2312" w:eastAsia="仿宋_GB2312" w:cs="仿宋_GB2312"/>
          <w:b w:val="0"/>
          <w:bCs w:val="0"/>
          <w:color w:val="auto"/>
          <w:kern w:val="2"/>
          <w:sz w:val="32"/>
          <w:szCs w:val="32"/>
          <w:highlight w:val="none"/>
          <w:lang w:val="en-US" w:eastAsia="zh-CN" w:bidi="ar-SA"/>
        </w:rPr>
        <w:t>负责各自辖区内水源工程、上水工程、机电设备、供水主管道、支管道等工程设施的管理和维修，保证本村供水工程正常安全运行。</w:t>
      </w:r>
    </w:p>
    <w:p>
      <w:pPr>
        <w:pageBreakBefore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2.</w:t>
      </w:r>
      <w:r>
        <w:rPr>
          <w:rFonts w:hint="eastAsia" w:ascii="仿宋_GB2312" w:hAnsi="仿宋_GB2312" w:eastAsia="仿宋_GB2312" w:cs="仿宋_GB2312"/>
          <w:b w:val="0"/>
          <w:bCs w:val="0"/>
          <w:color w:val="auto"/>
          <w:kern w:val="2"/>
          <w:sz w:val="32"/>
          <w:szCs w:val="32"/>
          <w:highlight w:val="none"/>
          <w:lang w:val="en-US" w:eastAsia="zh-CN" w:bidi="ar-SA"/>
        </w:rPr>
        <w:t>督促水管员、用水户按期缴纳水费。</w:t>
      </w:r>
    </w:p>
    <w:p>
      <w:pPr>
        <w:pageBreakBefore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sz w:val="32"/>
          <w:szCs w:val="32"/>
          <w:highlight w:val="none"/>
        </w:rPr>
        <w:t>3.</w:t>
      </w:r>
      <w:r>
        <w:rPr>
          <w:rFonts w:hint="eastAsia" w:ascii="仿宋_GB2312" w:hAnsi="仿宋_GB2312" w:eastAsia="仿宋_GB2312" w:cs="仿宋_GB2312"/>
          <w:b w:val="0"/>
          <w:bCs w:val="0"/>
          <w:color w:val="auto"/>
          <w:kern w:val="2"/>
          <w:sz w:val="32"/>
          <w:szCs w:val="32"/>
          <w:highlight w:val="none"/>
          <w:lang w:val="en-US" w:eastAsia="zh-CN" w:bidi="ar-SA"/>
        </w:rPr>
        <w:t>筹措水管员报酬（水管员报酬由各村收缴水费解决，凡暂时达不到按成本收费水利工程可以采取向用水户收取、安排公益性岗位、争取财政补助等方式）。</w:t>
      </w:r>
    </w:p>
    <w:p>
      <w:pPr>
        <w:pageBreakBefore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sz w:val="32"/>
          <w:szCs w:val="32"/>
          <w:highlight w:val="none"/>
        </w:rPr>
        <w:t>4.</w:t>
      </w:r>
      <w:r>
        <w:rPr>
          <w:rFonts w:hint="eastAsia" w:ascii="仿宋_GB2312" w:hAnsi="仿宋_GB2312" w:eastAsia="仿宋_GB2312" w:cs="仿宋_GB2312"/>
          <w:b w:val="0"/>
          <w:bCs w:val="0"/>
          <w:color w:val="auto"/>
          <w:kern w:val="2"/>
          <w:sz w:val="32"/>
          <w:szCs w:val="32"/>
          <w:highlight w:val="none"/>
          <w:lang w:val="en-US" w:eastAsia="zh-CN" w:bidi="ar-SA"/>
        </w:rPr>
        <w:t>确定水管员工作职责，制定本辖区工程管理制度并对单村供水工程核定收费标准。</w:t>
      </w:r>
    </w:p>
    <w:p>
      <w:pPr>
        <w:pageBreakBefore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sz w:val="32"/>
          <w:szCs w:val="32"/>
          <w:highlight w:val="none"/>
        </w:rPr>
        <w:t>5.</w:t>
      </w:r>
      <w:r>
        <w:rPr>
          <w:rFonts w:hint="eastAsia" w:ascii="仿宋_GB2312" w:hAnsi="仿宋_GB2312" w:eastAsia="仿宋_GB2312" w:cs="仿宋_GB2312"/>
          <w:b w:val="0"/>
          <w:bCs w:val="0"/>
          <w:color w:val="auto"/>
          <w:kern w:val="2"/>
          <w:sz w:val="32"/>
          <w:szCs w:val="32"/>
          <w:highlight w:val="none"/>
          <w:lang w:val="en-US" w:eastAsia="zh-CN" w:bidi="ar-SA"/>
        </w:rPr>
        <w:t>村管小组应当随时对村级管网、检查井及其附属物进行巡查、检修和维护，村管小组无法排除的故障和隐患，应及时和乡镇水管站联系，共同解决存在的问题。</w:t>
      </w:r>
    </w:p>
    <w:p>
      <w:pPr>
        <w:keepNext w:val="0"/>
        <w:keepLines w:val="0"/>
        <w:pageBreakBefore w:val="0"/>
        <w:widowControl/>
        <w:suppressLineNumbers w:val="0"/>
        <w:kinsoku/>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黑体" w:hAnsi="黑体" w:eastAsia="黑体" w:cs="黑体"/>
          <w:b w:val="0"/>
          <w:bCs w:val="0"/>
          <w:color w:val="auto"/>
          <w:sz w:val="32"/>
          <w:szCs w:val="32"/>
          <w:highlight w:val="none"/>
          <w:lang w:val="en-US" w:eastAsia="zh-CN"/>
        </w:rPr>
        <w:t>第二十条</w:t>
      </w:r>
      <w:r>
        <w:rPr>
          <w:rFonts w:hint="eastAsia" w:ascii="仿宋_GB2312" w:hAnsi="仿宋_GB2312" w:eastAsia="仿宋_GB2312" w:cs="仿宋_GB2312"/>
          <w:b w:val="0"/>
          <w:bCs w:val="0"/>
          <w:color w:val="auto"/>
          <w:kern w:val="0"/>
          <w:sz w:val="32"/>
          <w:szCs w:val="32"/>
          <w:highlight w:val="none"/>
          <w:lang w:val="en-US" w:eastAsia="zh-CN" w:bidi="ar"/>
        </w:rPr>
        <w:t xml:space="preserve">  </w:t>
      </w:r>
      <w:r>
        <w:rPr>
          <w:rFonts w:hint="eastAsia" w:ascii="仿宋_GB2312" w:hAnsi="仿宋_GB2312" w:eastAsia="仿宋_GB2312" w:cs="仿宋_GB2312"/>
          <w:b w:val="0"/>
          <w:bCs w:val="0"/>
          <w:color w:val="auto"/>
          <w:kern w:val="2"/>
          <w:sz w:val="32"/>
          <w:szCs w:val="32"/>
          <w:highlight w:val="none"/>
          <w:lang w:val="en-US" w:eastAsia="zh-CN" w:bidi="ar-SA"/>
        </w:rPr>
        <w:t xml:space="preserve">供水管理单位履行的义务 </w:t>
      </w:r>
    </w:p>
    <w:p>
      <w:pPr>
        <w:keepNext w:val="0"/>
        <w:keepLines w:val="0"/>
        <w:pageBreakBefore w:val="0"/>
        <w:widowControl/>
        <w:suppressLineNumbers w:val="0"/>
        <w:kinsoku/>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 xml:space="preserve">1.按照《生活饮用水卫生标准》（GB2006-5749）规定，保障供水安全；定期检查、维护供水设施； </w:t>
      </w:r>
    </w:p>
    <w:p>
      <w:pPr>
        <w:keepNext w:val="0"/>
        <w:keepLines w:val="0"/>
        <w:pageBreakBefore w:val="0"/>
        <w:widowControl/>
        <w:suppressLineNumbers w:val="0"/>
        <w:kinsoku/>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 xml:space="preserve">2.按照物价行政部门或上级行政主管部门批准的水价标准计量收费； </w:t>
      </w:r>
    </w:p>
    <w:p>
      <w:pPr>
        <w:keepNext w:val="0"/>
        <w:keepLines w:val="0"/>
        <w:pageBreakBefore w:val="0"/>
        <w:widowControl/>
        <w:suppressLineNumbers w:val="0"/>
        <w:kinsoku/>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 xml:space="preserve">3.设立供水事故抢修和热线电话，并向社会公布； </w:t>
      </w:r>
    </w:p>
    <w:p>
      <w:pPr>
        <w:keepNext w:val="0"/>
        <w:keepLines w:val="0"/>
        <w:pageBreakBefore w:val="0"/>
        <w:widowControl/>
        <w:suppressLineNumbers w:val="0"/>
        <w:kinsoku/>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 xml:space="preserve">4.接受县水务、卫生、环保、物价等部门的监督检查。 </w:t>
      </w:r>
    </w:p>
    <w:p>
      <w:pPr>
        <w:keepNext w:val="0"/>
        <w:keepLines w:val="0"/>
        <w:pageBreakBefore w:val="0"/>
        <w:widowControl/>
        <w:suppressLineNumbers w:val="0"/>
        <w:kinsoku/>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黑体" w:hAnsi="黑体" w:eastAsia="黑体" w:cs="黑体"/>
          <w:b w:val="0"/>
          <w:bCs w:val="0"/>
          <w:color w:val="auto"/>
          <w:sz w:val="32"/>
          <w:szCs w:val="32"/>
          <w:highlight w:val="none"/>
          <w:lang w:val="en-US" w:eastAsia="zh-CN"/>
        </w:rPr>
        <w:t>第二十一条</w:t>
      </w:r>
      <w:r>
        <w:rPr>
          <w:rFonts w:hint="eastAsia" w:ascii="仿宋_GB2312" w:hAnsi="仿宋_GB2312" w:eastAsia="仿宋_GB2312" w:cs="仿宋_GB2312"/>
          <w:b w:val="0"/>
          <w:bCs w:val="0"/>
          <w:color w:val="auto"/>
          <w:kern w:val="0"/>
          <w:sz w:val="32"/>
          <w:szCs w:val="32"/>
          <w:highlight w:val="none"/>
          <w:lang w:val="en-US" w:eastAsia="zh-CN" w:bidi="ar"/>
        </w:rPr>
        <w:t xml:space="preserve">  </w:t>
      </w:r>
      <w:r>
        <w:rPr>
          <w:rFonts w:hint="eastAsia" w:ascii="仿宋_GB2312" w:hAnsi="仿宋_GB2312" w:eastAsia="仿宋_GB2312" w:cs="仿宋_GB2312"/>
          <w:b w:val="0"/>
          <w:bCs w:val="0"/>
          <w:color w:val="auto"/>
          <w:kern w:val="2"/>
          <w:sz w:val="32"/>
          <w:szCs w:val="32"/>
          <w:highlight w:val="none"/>
          <w:lang w:val="en-US" w:eastAsia="zh-CN" w:bidi="ar-SA"/>
        </w:rPr>
        <w:t xml:space="preserve">用水户应履行的义务 </w:t>
      </w:r>
    </w:p>
    <w:p>
      <w:pPr>
        <w:keepNext w:val="0"/>
        <w:keepLines w:val="0"/>
        <w:pageBreakBefore w:val="0"/>
        <w:widowControl/>
        <w:suppressLineNumbers w:val="0"/>
        <w:kinsoku/>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 xml:space="preserve">1.按时交纳水费，不得拖欠或者拒付； </w:t>
      </w:r>
    </w:p>
    <w:p>
      <w:pPr>
        <w:keepNext w:val="0"/>
        <w:keepLines w:val="0"/>
        <w:pageBreakBefore w:val="0"/>
        <w:widowControl/>
        <w:suppressLineNumbers w:val="0"/>
        <w:kinsoku/>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 xml:space="preserve">2.不得擅自改变用水性质、盗用或者擅自向其他单位和 </w:t>
      </w:r>
    </w:p>
    <w:p>
      <w:pPr>
        <w:keepNext w:val="0"/>
        <w:keepLines w:val="0"/>
        <w:pageBreakBefore w:val="0"/>
        <w:widowControl/>
        <w:suppressLineNumbers w:val="0"/>
        <w:kinsoku/>
        <w:overflowPunct/>
        <w:topLinePunct w:val="0"/>
        <w:autoSpaceDE/>
        <w:autoSpaceDN/>
        <w:bidi w:val="0"/>
        <w:adjustRightInd/>
        <w:snapToGrid/>
        <w:spacing w:line="576" w:lineRule="exact"/>
        <w:ind w:left="0" w:leftChars="0" w:firstLine="0" w:firstLineChars="0"/>
        <w:jc w:val="both"/>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 xml:space="preserve">个人转供用水； </w:t>
      </w:r>
    </w:p>
    <w:p>
      <w:pPr>
        <w:keepNext w:val="0"/>
        <w:keepLines w:val="0"/>
        <w:pageBreakBefore w:val="0"/>
        <w:widowControl/>
        <w:suppressLineNumbers w:val="0"/>
        <w:kinsoku/>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0"/>
          <w:sz w:val="32"/>
          <w:szCs w:val="32"/>
          <w:highlight w:val="none"/>
          <w:lang w:val="en-US" w:eastAsia="zh-CN" w:bidi="ar"/>
        </w:rPr>
        <w:t>3.</w:t>
      </w:r>
      <w:r>
        <w:rPr>
          <w:rFonts w:hint="eastAsia" w:ascii="仿宋_GB2312" w:hAnsi="仿宋_GB2312" w:eastAsia="仿宋_GB2312" w:cs="仿宋_GB2312"/>
          <w:b w:val="0"/>
          <w:bCs w:val="0"/>
          <w:color w:val="auto"/>
          <w:kern w:val="2"/>
          <w:sz w:val="32"/>
          <w:szCs w:val="32"/>
          <w:highlight w:val="none"/>
          <w:lang w:val="en-US" w:eastAsia="zh-CN" w:bidi="ar-SA"/>
        </w:rPr>
        <w:t xml:space="preserve">不得擅自改动、拆除公共供水设施或者擅自在公共供 </w:t>
      </w:r>
    </w:p>
    <w:p>
      <w:pPr>
        <w:keepNext w:val="0"/>
        <w:keepLines w:val="0"/>
        <w:pageBreakBefore w:val="0"/>
        <w:widowControl/>
        <w:suppressLineNumbers w:val="0"/>
        <w:kinsoku/>
        <w:overflowPunct/>
        <w:topLinePunct w:val="0"/>
        <w:autoSpaceDE/>
        <w:autoSpaceDN/>
        <w:bidi w:val="0"/>
        <w:adjustRightInd/>
        <w:snapToGrid/>
        <w:spacing w:line="576" w:lineRule="exact"/>
        <w:ind w:left="0" w:leftChars="0" w:firstLine="0" w:firstLineChars="0"/>
        <w:jc w:val="left"/>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 xml:space="preserve">水管网上接水； </w:t>
      </w:r>
    </w:p>
    <w:p>
      <w:pPr>
        <w:keepNext w:val="0"/>
        <w:keepLines w:val="0"/>
        <w:pageBreakBefore w:val="0"/>
        <w:widowControl/>
        <w:suppressLineNumbers w:val="0"/>
        <w:kinsoku/>
        <w:overflowPunct/>
        <w:topLinePunct w:val="0"/>
        <w:autoSpaceDE/>
        <w:autoSpaceDN/>
        <w:bidi w:val="0"/>
        <w:adjustRightInd/>
        <w:snapToGrid/>
        <w:spacing w:line="576" w:lineRule="exact"/>
        <w:ind w:left="0" w:leftChars="0" w:firstLine="640" w:firstLineChars="200"/>
        <w:jc w:val="left"/>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4.变更或者终止用水，应当到供水单位办理相关手续。</w:t>
      </w:r>
    </w:p>
    <w:p>
      <w:pPr>
        <w:keepNext w:val="0"/>
        <w:keepLines w:val="0"/>
        <w:pageBreakBefore w:val="0"/>
        <w:widowControl/>
        <w:suppressLineNumbers w:val="0"/>
        <w:kinsoku/>
        <w:overflowPunct/>
        <w:topLinePunct w:val="0"/>
        <w:autoSpaceDE/>
        <w:autoSpaceDN/>
        <w:bidi w:val="0"/>
        <w:adjustRightInd/>
        <w:snapToGrid/>
        <w:spacing w:line="576" w:lineRule="exact"/>
        <w:ind w:left="0" w:leftChars="0" w:firstLine="640" w:firstLineChars="200"/>
        <w:jc w:val="left"/>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5.自觉爱护供水管网，当管网受损时积极向供水管理单位反映。</w:t>
      </w:r>
    </w:p>
    <w:p>
      <w:pPr>
        <w:keepNext w:val="0"/>
        <w:keepLines w:val="0"/>
        <w:pageBreakBefore w:val="0"/>
        <w:widowControl/>
        <w:suppressLineNumbers w:val="0"/>
        <w:kinsoku/>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黑体" w:hAnsi="黑体" w:eastAsia="黑体" w:cs="黑体"/>
          <w:b w:val="0"/>
          <w:bCs w:val="0"/>
          <w:color w:val="auto"/>
          <w:sz w:val="32"/>
          <w:szCs w:val="32"/>
          <w:highlight w:val="none"/>
          <w:lang w:val="en-US" w:eastAsia="zh-CN"/>
        </w:rPr>
        <w:t>第二十二条</w:t>
      </w:r>
      <w:r>
        <w:rPr>
          <w:rFonts w:hint="eastAsia" w:ascii="仿宋_GB2312" w:hAnsi="仿宋_GB2312" w:eastAsia="仿宋_GB2312" w:cs="仿宋_GB2312"/>
          <w:b w:val="0"/>
          <w:bCs w:val="0"/>
          <w:color w:val="auto"/>
          <w:sz w:val="32"/>
          <w:szCs w:val="32"/>
          <w:highlight w:val="none"/>
          <w:lang w:val="en-US" w:eastAsia="zh-CN"/>
        </w:rPr>
        <w:t xml:space="preserve">  </w:t>
      </w:r>
      <w:r>
        <w:rPr>
          <w:rFonts w:hint="eastAsia" w:ascii="仿宋_GB2312" w:hAnsi="仿宋_GB2312" w:eastAsia="仿宋_GB2312" w:cs="仿宋_GB2312"/>
          <w:b w:val="0"/>
          <w:bCs w:val="0"/>
          <w:color w:val="auto"/>
          <w:kern w:val="2"/>
          <w:sz w:val="32"/>
          <w:szCs w:val="32"/>
          <w:highlight w:val="none"/>
          <w:lang w:val="en-US" w:eastAsia="zh-CN" w:bidi="ar-SA"/>
        </w:rPr>
        <w:t>农村饮水安全工程应优先保证工程设计范围内居民的生活用水，有条件的兼顾工业和第三产业等生产用水。凡新增的用水企业或用水户，需提交用水申请、村组证明，由村管小组审查后报乡镇水管站审核，由乡镇水管站安装通水。对因修路、建房等其他原因需要改变原有供水线路及设施的，必须报乡镇水管站、村管小组批准，由乡镇水管站、村管小组负责实施。</w:t>
      </w:r>
    </w:p>
    <w:p>
      <w:pPr>
        <w:pageBreakBefore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b w:val="0"/>
          <w:bCs w:val="0"/>
          <w:color w:val="auto"/>
          <w:sz w:val="32"/>
          <w:szCs w:val="32"/>
          <w:highlight w:val="none"/>
        </w:rPr>
      </w:pPr>
      <w:bookmarkStart w:id="0" w:name="_GoBack"/>
      <w:bookmarkEnd w:id="0"/>
    </w:p>
    <w:p>
      <w:pPr>
        <w:pStyle w:val="3"/>
        <w:pageBreakBefore w:val="0"/>
        <w:kinsoku/>
        <w:wordWrap/>
        <w:overflowPunct/>
        <w:topLinePunct w:val="0"/>
        <w:autoSpaceDE/>
        <w:autoSpaceDN/>
        <w:bidi w:val="0"/>
        <w:adjustRightInd/>
        <w:snapToGrid/>
        <w:spacing w:before="0" w:beforeLines="0" w:after="0" w:afterLines="0" w:line="576" w:lineRule="exact"/>
        <w:jc w:val="center"/>
        <w:textAlignment w:val="auto"/>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第三章  水价核定与水费征收</w:t>
      </w:r>
    </w:p>
    <w:p>
      <w:pPr>
        <w:pageBreakBefore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b w:val="0"/>
          <w:bCs w:val="0"/>
          <w:color w:val="auto"/>
          <w:sz w:val="32"/>
          <w:szCs w:val="32"/>
          <w:highlight w:val="none"/>
          <w:lang w:eastAsia="zh-CN"/>
        </w:rPr>
      </w:pPr>
    </w:p>
    <w:p>
      <w:pPr>
        <w:pageBreakBefore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黑体" w:hAnsi="黑体" w:eastAsia="黑体" w:cs="黑体"/>
          <w:b w:val="0"/>
          <w:bCs w:val="0"/>
          <w:color w:val="auto"/>
          <w:kern w:val="2"/>
          <w:sz w:val="32"/>
          <w:szCs w:val="32"/>
          <w:highlight w:val="none"/>
          <w:lang w:val="en-US" w:eastAsia="zh-CN" w:bidi="ar-SA"/>
        </w:rPr>
        <w:t>第二十三条</w:t>
      </w:r>
      <w:r>
        <w:rPr>
          <w:rFonts w:hint="eastAsia" w:ascii="仿宋_GB2312" w:hAnsi="仿宋_GB2312" w:eastAsia="仿宋_GB2312" w:cs="仿宋_GB2312"/>
          <w:b w:val="0"/>
          <w:bCs w:val="0"/>
          <w:color w:val="auto"/>
          <w:sz w:val="32"/>
          <w:szCs w:val="32"/>
          <w:highlight w:val="none"/>
          <w:lang w:val="en-US" w:eastAsia="zh-CN"/>
        </w:rPr>
        <w:t xml:space="preserve">  </w:t>
      </w:r>
      <w:r>
        <w:rPr>
          <w:rFonts w:hint="eastAsia" w:ascii="仿宋_GB2312" w:hAnsi="仿宋_GB2312" w:eastAsia="仿宋_GB2312" w:cs="仿宋_GB2312"/>
          <w:b w:val="0"/>
          <w:bCs w:val="0"/>
          <w:color w:val="auto"/>
          <w:kern w:val="2"/>
          <w:sz w:val="32"/>
          <w:szCs w:val="32"/>
          <w:highlight w:val="none"/>
          <w:lang w:val="en-US" w:eastAsia="zh-CN" w:bidi="ar-SA"/>
        </w:rPr>
        <w:t>农村饮用水供水实行有偿使用、多种形式收费制度，集中供水工程水价由县物价部门核定批准。单村供水工程由各村根据实际情况宜采取一事一议召开村民大会自行确定。</w:t>
      </w:r>
    </w:p>
    <w:p>
      <w:pPr>
        <w:pageBreakBefore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黑体" w:hAnsi="黑体" w:eastAsia="黑体" w:cs="黑体"/>
          <w:b w:val="0"/>
          <w:bCs w:val="0"/>
          <w:color w:val="auto"/>
          <w:kern w:val="2"/>
          <w:sz w:val="32"/>
          <w:szCs w:val="32"/>
          <w:highlight w:val="none"/>
          <w:lang w:val="en-US" w:eastAsia="zh-CN" w:bidi="ar-SA"/>
        </w:rPr>
        <w:t>第二十四条</w:t>
      </w:r>
      <w:r>
        <w:rPr>
          <w:rFonts w:hint="eastAsia" w:ascii="仿宋_GB2312" w:hAnsi="仿宋_GB2312" w:eastAsia="仿宋_GB2312" w:cs="仿宋_GB2312"/>
          <w:b w:val="0"/>
          <w:bCs w:val="0"/>
          <w:color w:val="auto"/>
          <w:sz w:val="32"/>
          <w:szCs w:val="32"/>
          <w:highlight w:val="none"/>
          <w:lang w:val="en-US" w:eastAsia="zh-CN"/>
        </w:rPr>
        <w:t xml:space="preserve">  </w:t>
      </w:r>
      <w:r>
        <w:rPr>
          <w:rFonts w:hint="eastAsia" w:ascii="仿宋_GB2312" w:hAnsi="仿宋_GB2312" w:eastAsia="仿宋_GB2312" w:cs="仿宋_GB2312"/>
          <w:b w:val="0"/>
          <w:bCs w:val="0"/>
          <w:color w:val="auto"/>
          <w:kern w:val="2"/>
          <w:sz w:val="32"/>
          <w:szCs w:val="32"/>
          <w:highlight w:val="none"/>
          <w:lang w:val="en-US" w:eastAsia="zh-CN" w:bidi="ar-SA"/>
        </w:rPr>
        <w:t>用水单位和用水户要实行计划用水，按照节约用水的原则，逐步实行成本水价。</w:t>
      </w:r>
    </w:p>
    <w:p>
      <w:pPr>
        <w:pageBreakBefore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黑体" w:hAnsi="黑体" w:eastAsia="黑体" w:cs="黑体"/>
          <w:b w:val="0"/>
          <w:bCs w:val="0"/>
          <w:color w:val="auto"/>
          <w:kern w:val="2"/>
          <w:sz w:val="32"/>
          <w:szCs w:val="32"/>
          <w:highlight w:val="none"/>
          <w:lang w:val="en-US" w:eastAsia="zh-CN" w:bidi="ar-SA"/>
        </w:rPr>
        <w:t xml:space="preserve">第二十五条 </w:t>
      </w:r>
      <w:r>
        <w:rPr>
          <w:rFonts w:hint="eastAsia" w:ascii="仿宋_GB2312" w:hAnsi="仿宋_GB2312" w:eastAsia="仿宋_GB2312" w:cs="仿宋_GB2312"/>
          <w:b w:val="0"/>
          <w:bCs w:val="0"/>
          <w:color w:val="auto"/>
          <w:sz w:val="32"/>
          <w:szCs w:val="32"/>
          <w:highlight w:val="none"/>
          <w:lang w:val="en-US" w:eastAsia="zh-CN"/>
        </w:rPr>
        <w:t xml:space="preserve"> </w:t>
      </w:r>
      <w:r>
        <w:rPr>
          <w:rFonts w:hint="eastAsia" w:ascii="仿宋_GB2312" w:hAnsi="仿宋_GB2312" w:eastAsia="仿宋_GB2312" w:cs="仿宋_GB2312"/>
          <w:b w:val="0"/>
          <w:bCs w:val="0"/>
          <w:color w:val="auto"/>
          <w:kern w:val="2"/>
          <w:sz w:val="32"/>
          <w:szCs w:val="32"/>
          <w:highlight w:val="none"/>
          <w:lang w:val="en-US" w:eastAsia="zh-CN" w:bidi="ar-SA"/>
        </w:rPr>
        <w:t>农村饮水安全工程主要实行计量收费方式，用水户均要安装水表（一户一表），按量付费。用水户在规定的期限内应及时缴纳水费；逾期不缴纳的，供水单位有权按照合同约定收取违约金。村管小组应建立水费专户，将收缴的水费统一管理，实行收支两条线。收缴的水费主要用于支付取水或提水所需电费、主体工程的运行、管理、维修，不得乱支乱用。</w:t>
      </w:r>
    </w:p>
    <w:p>
      <w:pPr>
        <w:pageBreakBefore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黑体" w:hAnsi="黑体" w:eastAsia="黑体" w:cs="黑体"/>
          <w:b w:val="0"/>
          <w:bCs w:val="0"/>
          <w:color w:val="auto"/>
          <w:kern w:val="2"/>
          <w:sz w:val="32"/>
          <w:szCs w:val="32"/>
          <w:highlight w:val="none"/>
          <w:lang w:val="en-US" w:eastAsia="zh-CN" w:bidi="ar-SA"/>
        </w:rPr>
        <w:t>第二十六条</w:t>
      </w:r>
      <w:r>
        <w:rPr>
          <w:rFonts w:hint="eastAsia" w:ascii="仿宋_GB2312" w:hAnsi="仿宋_GB2312" w:eastAsia="仿宋_GB2312" w:cs="仿宋_GB2312"/>
          <w:b w:val="0"/>
          <w:bCs w:val="0"/>
          <w:color w:val="auto"/>
          <w:sz w:val="32"/>
          <w:szCs w:val="32"/>
          <w:highlight w:val="none"/>
          <w:lang w:val="en-US" w:eastAsia="zh-CN"/>
        </w:rPr>
        <w:t xml:space="preserve">  </w:t>
      </w:r>
      <w:r>
        <w:rPr>
          <w:rFonts w:hint="eastAsia" w:ascii="仿宋_GB2312" w:hAnsi="仿宋_GB2312" w:eastAsia="仿宋_GB2312" w:cs="仿宋_GB2312"/>
          <w:b w:val="0"/>
          <w:bCs w:val="0"/>
          <w:color w:val="auto"/>
          <w:kern w:val="2"/>
          <w:sz w:val="32"/>
          <w:szCs w:val="32"/>
          <w:highlight w:val="none"/>
          <w:lang w:val="en-US" w:eastAsia="zh-CN" w:bidi="ar-SA"/>
        </w:rPr>
        <w:t>乡镇水管站要定期对水价、水量、水费收支管理和使用情况进行公示，接受用水户和社会监督。水费征收、使用和管理应接受财政、物价、审计和水务部门的监督检查。</w:t>
      </w:r>
    </w:p>
    <w:p>
      <w:pPr>
        <w:pStyle w:val="3"/>
        <w:pageBreakBefore w:val="0"/>
        <w:kinsoku/>
        <w:wordWrap/>
        <w:overflowPunct/>
        <w:topLinePunct w:val="0"/>
        <w:autoSpaceDE/>
        <w:autoSpaceDN/>
        <w:bidi w:val="0"/>
        <w:adjustRightInd/>
        <w:snapToGrid/>
        <w:spacing w:before="0" w:beforeLines="0" w:after="0" w:afterLines="0" w:line="576" w:lineRule="exact"/>
        <w:jc w:val="both"/>
        <w:textAlignment w:val="auto"/>
        <w:rPr>
          <w:rFonts w:hint="eastAsia" w:ascii="仿宋_GB2312" w:hAnsi="仿宋_GB2312" w:eastAsia="仿宋_GB2312" w:cs="仿宋_GB2312"/>
          <w:b w:val="0"/>
          <w:bCs w:val="0"/>
          <w:color w:val="auto"/>
          <w:sz w:val="32"/>
          <w:szCs w:val="32"/>
          <w:highlight w:val="none"/>
          <w:lang w:eastAsia="zh-CN"/>
        </w:rPr>
      </w:pPr>
    </w:p>
    <w:p>
      <w:pPr>
        <w:pStyle w:val="3"/>
        <w:pageBreakBefore w:val="0"/>
        <w:kinsoku/>
        <w:wordWrap/>
        <w:overflowPunct/>
        <w:topLinePunct w:val="0"/>
        <w:autoSpaceDE/>
        <w:autoSpaceDN/>
        <w:bidi w:val="0"/>
        <w:adjustRightInd/>
        <w:snapToGrid/>
        <w:spacing w:before="0" w:beforeLines="0" w:after="0" w:afterLines="0" w:line="576" w:lineRule="exact"/>
        <w:jc w:val="center"/>
        <w:textAlignment w:val="auto"/>
        <w:rPr>
          <w:rFonts w:hint="eastAsia" w:ascii="黑体" w:hAnsi="黑体" w:eastAsia="黑体" w:cs="黑体"/>
          <w:b w:val="0"/>
          <w:bCs w:val="0"/>
          <w:color w:val="auto"/>
          <w:kern w:val="2"/>
          <w:sz w:val="32"/>
          <w:szCs w:val="32"/>
          <w:highlight w:val="none"/>
          <w:lang w:val="en-US" w:eastAsia="zh-CN" w:bidi="ar-SA"/>
        </w:rPr>
      </w:pPr>
      <w:r>
        <w:rPr>
          <w:rFonts w:hint="eastAsia" w:ascii="黑体" w:hAnsi="黑体" w:eastAsia="黑体" w:cs="黑体"/>
          <w:b w:val="0"/>
          <w:bCs w:val="0"/>
          <w:color w:val="auto"/>
          <w:kern w:val="2"/>
          <w:sz w:val="32"/>
          <w:szCs w:val="32"/>
          <w:highlight w:val="none"/>
          <w:lang w:val="en-US" w:eastAsia="zh-CN" w:bidi="ar-SA"/>
        </w:rPr>
        <w:t>第四章  维修养护经费</w:t>
      </w:r>
    </w:p>
    <w:p>
      <w:pPr>
        <w:pageBreakBefore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b w:val="0"/>
          <w:bCs w:val="0"/>
          <w:color w:val="auto"/>
          <w:sz w:val="32"/>
          <w:szCs w:val="32"/>
          <w:highlight w:val="none"/>
          <w:lang w:eastAsia="zh-CN"/>
        </w:rPr>
      </w:pPr>
    </w:p>
    <w:p>
      <w:pPr>
        <w:pageBreakBefore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黑体" w:hAnsi="黑体" w:eastAsia="黑体" w:cs="黑体"/>
          <w:b w:val="0"/>
          <w:bCs w:val="0"/>
          <w:color w:val="auto"/>
          <w:kern w:val="2"/>
          <w:sz w:val="32"/>
          <w:szCs w:val="32"/>
          <w:highlight w:val="none"/>
          <w:lang w:val="en-US" w:eastAsia="zh-CN" w:bidi="ar-SA"/>
        </w:rPr>
        <w:t xml:space="preserve">第二十七条 </w:t>
      </w:r>
      <w:r>
        <w:rPr>
          <w:rFonts w:hint="eastAsia" w:ascii="仿宋_GB2312" w:hAnsi="仿宋_GB2312" w:eastAsia="仿宋_GB2312" w:cs="仿宋_GB2312"/>
          <w:b w:val="0"/>
          <w:bCs w:val="0"/>
          <w:color w:val="auto"/>
          <w:sz w:val="32"/>
          <w:szCs w:val="32"/>
          <w:highlight w:val="none"/>
          <w:lang w:val="en-US" w:eastAsia="zh-CN"/>
        </w:rPr>
        <w:t xml:space="preserve"> </w:t>
      </w:r>
      <w:r>
        <w:rPr>
          <w:rFonts w:hint="eastAsia" w:ascii="仿宋_GB2312" w:hAnsi="仿宋_GB2312" w:eastAsia="仿宋_GB2312" w:cs="仿宋_GB2312"/>
          <w:b w:val="0"/>
          <w:bCs w:val="0"/>
          <w:color w:val="auto"/>
          <w:kern w:val="2"/>
          <w:sz w:val="32"/>
          <w:szCs w:val="32"/>
          <w:highlight w:val="none"/>
          <w:lang w:val="en-US" w:eastAsia="zh-CN" w:bidi="ar-SA"/>
        </w:rPr>
        <w:t>农村饮水安全工程管护资金由上级专项补助资金、县级财政资金、水费提留、群众自筹等方式筹集。</w:t>
      </w:r>
    </w:p>
    <w:p>
      <w:pPr>
        <w:pageBreakBefore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黑体" w:hAnsi="黑体" w:eastAsia="黑体" w:cs="黑体"/>
          <w:b w:val="0"/>
          <w:bCs w:val="0"/>
          <w:color w:val="auto"/>
          <w:kern w:val="2"/>
          <w:sz w:val="32"/>
          <w:szCs w:val="32"/>
          <w:highlight w:val="none"/>
          <w:lang w:val="en-US" w:eastAsia="zh-CN" w:bidi="ar-SA"/>
        </w:rPr>
        <w:t>第二十八条</w:t>
      </w:r>
      <w:r>
        <w:rPr>
          <w:rFonts w:hint="eastAsia" w:ascii="仿宋_GB2312" w:hAnsi="仿宋_GB2312" w:eastAsia="仿宋_GB2312" w:cs="仿宋_GB2312"/>
          <w:b w:val="0"/>
          <w:bCs w:val="0"/>
          <w:color w:val="auto"/>
          <w:sz w:val="32"/>
          <w:szCs w:val="32"/>
          <w:highlight w:val="none"/>
          <w:lang w:val="en-US" w:eastAsia="zh-CN"/>
        </w:rPr>
        <w:t xml:space="preserve">  </w:t>
      </w:r>
      <w:r>
        <w:rPr>
          <w:rFonts w:hint="eastAsia" w:ascii="仿宋_GB2312" w:hAnsi="仿宋_GB2312" w:eastAsia="仿宋_GB2312" w:cs="仿宋_GB2312"/>
          <w:b w:val="0"/>
          <w:bCs w:val="0"/>
          <w:color w:val="auto"/>
          <w:kern w:val="2"/>
          <w:sz w:val="32"/>
          <w:szCs w:val="32"/>
          <w:highlight w:val="none"/>
          <w:lang w:val="en-US" w:eastAsia="zh-CN" w:bidi="ar-SA"/>
        </w:rPr>
        <w:t>凡县内农村饮水安全工程必须设立维修养护基金，维修养护基金原则上自筹自用。通过建立县、乡、村三级维修养护基金，坚持自筹为主、补助为辅的原则，实现“以水养水，略有结余”的良性循环。</w:t>
      </w:r>
    </w:p>
    <w:p>
      <w:pPr>
        <w:pageBreakBefore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县级维修养护基金通过争取上级部门划拨的维修资金和县财政部门预算安排保障落实，由县水务局设专户管理，遵循专款专用原则，专项用于农村饮水安全工程供水设施非人为原因造成损毁的修复，对经审核确实无力承担的部分农村饮水安全工程进行补贴。</w:t>
      </w:r>
    </w:p>
    <w:p>
      <w:pPr>
        <w:pageBreakBefore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各乡镇水管站筹集的维修养护基金建立专账，专项用于辖区内农村饮水安全工程的日常管护和维修，乡镇政府应进行行政监督。</w:t>
      </w:r>
    </w:p>
    <w:p>
      <w:pPr>
        <w:pageBreakBefore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各村的维修养护基金通过水费提留、用水户筹集等方式，建立专账，专户储存，使用情况接受用水户和社会监督。</w:t>
      </w:r>
    </w:p>
    <w:p>
      <w:pPr>
        <w:pageBreakBefore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黑体" w:hAnsi="黑体" w:eastAsia="黑体" w:cs="黑体"/>
          <w:b w:val="0"/>
          <w:bCs w:val="0"/>
          <w:color w:val="auto"/>
          <w:kern w:val="2"/>
          <w:sz w:val="32"/>
          <w:szCs w:val="32"/>
          <w:highlight w:val="none"/>
          <w:lang w:val="en-US" w:eastAsia="zh-CN" w:bidi="ar-SA"/>
        </w:rPr>
        <w:t>第二十九条</w:t>
      </w:r>
      <w:r>
        <w:rPr>
          <w:rFonts w:hint="eastAsia" w:ascii="仿宋_GB2312" w:hAnsi="仿宋_GB2312" w:eastAsia="仿宋_GB2312" w:cs="仿宋_GB2312"/>
          <w:b w:val="0"/>
          <w:bCs w:val="0"/>
          <w:color w:val="auto"/>
          <w:sz w:val="32"/>
          <w:szCs w:val="32"/>
          <w:highlight w:val="none"/>
          <w:lang w:val="en-US" w:eastAsia="zh-CN"/>
        </w:rPr>
        <w:t xml:space="preserve">  </w:t>
      </w:r>
      <w:r>
        <w:rPr>
          <w:rFonts w:hint="eastAsia" w:ascii="仿宋_GB2312" w:hAnsi="仿宋_GB2312" w:eastAsia="仿宋_GB2312" w:cs="仿宋_GB2312"/>
          <w:b w:val="0"/>
          <w:bCs w:val="0"/>
          <w:color w:val="auto"/>
          <w:kern w:val="2"/>
          <w:sz w:val="32"/>
          <w:szCs w:val="32"/>
          <w:highlight w:val="none"/>
          <w:lang w:val="en-US" w:eastAsia="zh-CN" w:bidi="ar-SA"/>
        </w:rPr>
        <w:t>县级维修养护基金申报程序：以各乡镇为主体提出申请，经县水务局确认属于县级维修养护基金使用范围的工程，由县水务局实地丈量、勘察、统计、汇总后，提出工程实施方案和资金使用预算计划，经上级主管部门或第三方评审，报县政府同意后方可实施。县水务局要严格按照维修工程的内容和标准，制定项目实施要求和验收依据，由县水务局、各乡镇或第三方评价机构联合验收后予以结算。</w:t>
      </w:r>
    </w:p>
    <w:p>
      <w:pPr>
        <w:pageBreakBefore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黑体" w:hAnsi="黑体" w:eastAsia="黑体" w:cs="黑体"/>
          <w:b w:val="0"/>
          <w:bCs w:val="0"/>
          <w:color w:val="auto"/>
          <w:kern w:val="2"/>
          <w:sz w:val="32"/>
          <w:szCs w:val="32"/>
          <w:highlight w:val="none"/>
          <w:lang w:val="en-US" w:eastAsia="zh-CN" w:bidi="ar-SA"/>
        </w:rPr>
        <w:t>第三十条</w:t>
      </w:r>
      <w:r>
        <w:rPr>
          <w:rFonts w:hint="eastAsia" w:ascii="仿宋_GB2312" w:hAnsi="仿宋_GB2312" w:eastAsia="仿宋_GB2312" w:cs="仿宋_GB2312"/>
          <w:b w:val="0"/>
          <w:bCs w:val="0"/>
          <w:color w:val="auto"/>
          <w:sz w:val="32"/>
          <w:szCs w:val="32"/>
          <w:highlight w:val="none"/>
          <w:lang w:val="en-US" w:eastAsia="zh-CN"/>
        </w:rPr>
        <w:t xml:space="preserve">  </w:t>
      </w:r>
      <w:r>
        <w:rPr>
          <w:rFonts w:hint="eastAsia" w:ascii="仿宋_GB2312" w:hAnsi="仿宋_GB2312" w:eastAsia="仿宋_GB2312" w:cs="仿宋_GB2312"/>
          <w:b w:val="0"/>
          <w:bCs w:val="0"/>
          <w:color w:val="auto"/>
          <w:kern w:val="2"/>
          <w:sz w:val="32"/>
          <w:szCs w:val="32"/>
          <w:highlight w:val="none"/>
          <w:lang w:val="en-US" w:eastAsia="zh-CN" w:bidi="ar-SA"/>
        </w:rPr>
        <w:t>对应急突发抢修项目，各乡镇应及时向县水务局汇报后，由县水务局组织相关人员核实，并实施工程维修，竣工验收后，将按实际发生的费用核算，补办手续。</w:t>
      </w:r>
    </w:p>
    <w:p>
      <w:pPr>
        <w:pStyle w:val="3"/>
        <w:pageBreakBefore w:val="0"/>
        <w:kinsoku/>
        <w:wordWrap/>
        <w:overflowPunct/>
        <w:topLinePunct w:val="0"/>
        <w:autoSpaceDE/>
        <w:autoSpaceDN/>
        <w:bidi w:val="0"/>
        <w:adjustRightInd/>
        <w:snapToGrid/>
        <w:spacing w:before="0" w:beforeLines="0" w:after="0" w:afterLines="0" w:line="576" w:lineRule="exact"/>
        <w:jc w:val="both"/>
        <w:textAlignment w:val="auto"/>
        <w:rPr>
          <w:rFonts w:hint="eastAsia" w:ascii="仿宋_GB2312" w:hAnsi="仿宋_GB2312" w:eastAsia="仿宋_GB2312" w:cs="仿宋_GB2312"/>
          <w:b w:val="0"/>
          <w:bCs w:val="0"/>
          <w:color w:val="auto"/>
          <w:sz w:val="32"/>
          <w:szCs w:val="32"/>
          <w:highlight w:val="none"/>
          <w:lang w:eastAsia="zh-CN"/>
        </w:rPr>
      </w:pPr>
    </w:p>
    <w:p>
      <w:pPr>
        <w:pStyle w:val="3"/>
        <w:pageBreakBefore w:val="0"/>
        <w:kinsoku/>
        <w:wordWrap/>
        <w:overflowPunct/>
        <w:topLinePunct w:val="0"/>
        <w:autoSpaceDE/>
        <w:autoSpaceDN/>
        <w:bidi w:val="0"/>
        <w:adjustRightInd/>
        <w:snapToGrid/>
        <w:spacing w:before="0" w:beforeLines="0" w:after="0" w:afterLines="0" w:line="576" w:lineRule="exact"/>
        <w:jc w:val="center"/>
        <w:textAlignment w:val="auto"/>
        <w:rPr>
          <w:rFonts w:hint="eastAsia" w:ascii="黑体" w:hAnsi="黑体" w:eastAsia="黑体" w:cs="黑体"/>
          <w:b w:val="0"/>
          <w:bCs w:val="0"/>
          <w:color w:val="auto"/>
          <w:kern w:val="2"/>
          <w:sz w:val="32"/>
          <w:szCs w:val="32"/>
          <w:highlight w:val="none"/>
          <w:lang w:val="en-US" w:eastAsia="zh-CN" w:bidi="ar-SA"/>
        </w:rPr>
      </w:pPr>
      <w:r>
        <w:rPr>
          <w:rFonts w:hint="eastAsia" w:ascii="黑体" w:hAnsi="黑体" w:eastAsia="黑体" w:cs="黑体"/>
          <w:b w:val="0"/>
          <w:bCs w:val="0"/>
          <w:color w:val="auto"/>
          <w:kern w:val="2"/>
          <w:sz w:val="32"/>
          <w:szCs w:val="32"/>
          <w:highlight w:val="none"/>
          <w:lang w:val="en-US" w:eastAsia="zh-CN" w:bidi="ar-SA"/>
        </w:rPr>
        <w:t>第五章  水源地保护及水质</w:t>
      </w:r>
    </w:p>
    <w:p>
      <w:pPr>
        <w:pageBreakBefore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b w:val="0"/>
          <w:bCs w:val="0"/>
          <w:color w:val="auto"/>
          <w:sz w:val="32"/>
          <w:szCs w:val="32"/>
          <w:highlight w:val="none"/>
          <w:lang w:eastAsia="zh-CN"/>
        </w:rPr>
      </w:pPr>
    </w:p>
    <w:p>
      <w:pPr>
        <w:pageBreakBefore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黑体" w:hAnsi="黑体" w:eastAsia="黑体" w:cs="黑体"/>
          <w:b w:val="0"/>
          <w:bCs w:val="0"/>
          <w:color w:val="auto"/>
          <w:sz w:val="32"/>
          <w:szCs w:val="32"/>
          <w:highlight w:val="none"/>
          <w:lang w:eastAsia="zh-CN"/>
        </w:rPr>
        <w:t>第</w:t>
      </w:r>
      <w:r>
        <w:rPr>
          <w:rFonts w:hint="eastAsia" w:ascii="黑体" w:hAnsi="黑体" w:eastAsia="黑体" w:cs="黑体"/>
          <w:b w:val="0"/>
          <w:bCs w:val="0"/>
          <w:color w:val="auto"/>
          <w:sz w:val="32"/>
          <w:szCs w:val="32"/>
          <w:highlight w:val="none"/>
          <w:lang w:val="en-US" w:eastAsia="zh-CN"/>
        </w:rPr>
        <w:t>三十一</w:t>
      </w:r>
      <w:r>
        <w:rPr>
          <w:rFonts w:hint="eastAsia" w:ascii="黑体" w:hAnsi="黑体" w:eastAsia="黑体" w:cs="黑体"/>
          <w:b w:val="0"/>
          <w:bCs w:val="0"/>
          <w:color w:val="auto"/>
          <w:sz w:val="32"/>
          <w:szCs w:val="32"/>
          <w:highlight w:val="none"/>
          <w:lang w:eastAsia="zh-CN"/>
        </w:rPr>
        <w:t>条</w:t>
      </w:r>
      <w:r>
        <w:rPr>
          <w:rFonts w:hint="eastAsia" w:ascii="仿宋_GB2312" w:hAnsi="仿宋_GB2312" w:eastAsia="仿宋_GB2312" w:cs="仿宋_GB2312"/>
          <w:b w:val="0"/>
          <w:bCs w:val="0"/>
          <w:color w:val="auto"/>
          <w:sz w:val="32"/>
          <w:szCs w:val="32"/>
          <w:highlight w:val="none"/>
          <w:lang w:val="en-US" w:eastAsia="zh-CN"/>
        </w:rPr>
        <w:t xml:space="preserve">  </w:t>
      </w:r>
      <w:r>
        <w:rPr>
          <w:rFonts w:hint="eastAsia" w:ascii="仿宋_GB2312" w:hAnsi="仿宋_GB2312" w:eastAsia="仿宋_GB2312" w:cs="仿宋_GB2312"/>
          <w:b w:val="0"/>
          <w:bCs w:val="0"/>
          <w:color w:val="auto"/>
          <w:kern w:val="2"/>
          <w:sz w:val="32"/>
          <w:szCs w:val="32"/>
          <w:highlight w:val="none"/>
          <w:lang w:val="en-US" w:eastAsia="zh-CN" w:bidi="ar-SA"/>
        </w:rPr>
        <w:t>全县水质监测由县水质检测中心负责。县水质检测中心要严格按照省、州行业部门要求对农村饮水安全工程的水源水、管网水、末梢水开展水质检测工作，并将检测结果通过“云南省农村饮水安全水质检测管理系统”上报上级有关部门,实时监测我县农村供水工程饮用水情况。</w:t>
      </w:r>
    </w:p>
    <w:p>
      <w:pPr>
        <w:pageBreakBefore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黑体" w:hAnsi="黑体" w:eastAsia="黑体" w:cs="黑体"/>
          <w:b w:val="0"/>
          <w:bCs w:val="0"/>
          <w:color w:val="auto"/>
          <w:sz w:val="32"/>
          <w:szCs w:val="32"/>
          <w:highlight w:val="none"/>
          <w:lang w:eastAsia="zh-CN"/>
        </w:rPr>
        <w:t>第三十</w:t>
      </w:r>
      <w:r>
        <w:rPr>
          <w:rFonts w:hint="eastAsia" w:ascii="黑体" w:hAnsi="黑体" w:eastAsia="黑体" w:cs="黑体"/>
          <w:b w:val="0"/>
          <w:bCs w:val="0"/>
          <w:color w:val="auto"/>
          <w:sz w:val="32"/>
          <w:szCs w:val="32"/>
          <w:highlight w:val="none"/>
          <w:lang w:val="en-US" w:eastAsia="zh-CN"/>
        </w:rPr>
        <w:t>二</w:t>
      </w:r>
      <w:r>
        <w:rPr>
          <w:rFonts w:hint="eastAsia" w:ascii="黑体" w:hAnsi="黑体" w:eastAsia="黑体" w:cs="黑体"/>
          <w:b w:val="0"/>
          <w:bCs w:val="0"/>
          <w:color w:val="auto"/>
          <w:sz w:val="32"/>
          <w:szCs w:val="32"/>
          <w:highlight w:val="none"/>
          <w:lang w:eastAsia="zh-CN"/>
        </w:rPr>
        <w:t>条</w:t>
      </w:r>
      <w:r>
        <w:rPr>
          <w:rFonts w:hint="eastAsia" w:ascii="仿宋_GB2312" w:hAnsi="仿宋_GB2312" w:eastAsia="仿宋_GB2312" w:cs="仿宋_GB2312"/>
          <w:b w:val="0"/>
          <w:bCs w:val="0"/>
          <w:color w:val="auto"/>
          <w:sz w:val="32"/>
          <w:szCs w:val="32"/>
          <w:highlight w:val="none"/>
          <w:lang w:val="en-US" w:eastAsia="zh-CN"/>
        </w:rPr>
        <w:t xml:space="preserve">  </w:t>
      </w:r>
      <w:r>
        <w:rPr>
          <w:rFonts w:hint="eastAsia" w:ascii="仿宋_GB2312" w:hAnsi="仿宋_GB2312" w:eastAsia="仿宋_GB2312" w:cs="仿宋_GB2312"/>
          <w:b w:val="0"/>
          <w:bCs w:val="0"/>
          <w:color w:val="auto"/>
          <w:kern w:val="2"/>
          <w:sz w:val="32"/>
          <w:szCs w:val="32"/>
          <w:highlight w:val="none"/>
          <w:lang w:val="en-US" w:eastAsia="zh-CN" w:bidi="ar-SA"/>
        </w:rPr>
        <w:t>因突发性事故造成或存在饮用水水源污染或隐患时，责任人应立即采取措施消除污染或隐患，并报告当地人民政府，卫健、环保和水务等部门立即调查处理，并采取相应措施，保障饮用水水源安全。</w:t>
      </w:r>
    </w:p>
    <w:p>
      <w:pPr>
        <w:pageBreakBefore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黑体" w:hAnsi="黑体" w:eastAsia="黑体" w:cs="黑体"/>
          <w:b w:val="0"/>
          <w:bCs w:val="0"/>
          <w:color w:val="auto"/>
          <w:sz w:val="32"/>
          <w:szCs w:val="32"/>
          <w:highlight w:val="none"/>
          <w:lang w:eastAsia="zh-CN"/>
        </w:rPr>
        <w:t>第三十</w:t>
      </w:r>
      <w:r>
        <w:rPr>
          <w:rFonts w:hint="eastAsia" w:ascii="黑体" w:hAnsi="黑体" w:eastAsia="黑体" w:cs="黑体"/>
          <w:b w:val="0"/>
          <w:bCs w:val="0"/>
          <w:color w:val="auto"/>
          <w:sz w:val="32"/>
          <w:szCs w:val="32"/>
          <w:highlight w:val="none"/>
          <w:lang w:val="en-US" w:eastAsia="zh-CN"/>
        </w:rPr>
        <w:t>三</w:t>
      </w:r>
      <w:r>
        <w:rPr>
          <w:rFonts w:hint="eastAsia" w:ascii="黑体" w:hAnsi="黑体" w:eastAsia="黑体" w:cs="黑体"/>
          <w:b w:val="0"/>
          <w:bCs w:val="0"/>
          <w:color w:val="auto"/>
          <w:sz w:val="32"/>
          <w:szCs w:val="32"/>
          <w:highlight w:val="none"/>
          <w:lang w:eastAsia="zh-CN"/>
        </w:rPr>
        <w:t>条</w:t>
      </w:r>
      <w:r>
        <w:rPr>
          <w:rFonts w:hint="eastAsia" w:ascii="仿宋_GB2312" w:hAnsi="仿宋_GB2312" w:eastAsia="仿宋_GB2312" w:cs="仿宋_GB2312"/>
          <w:b w:val="0"/>
          <w:bCs w:val="0"/>
          <w:color w:val="auto"/>
          <w:sz w:val="32"/>
          <w:szCs w:val="32"/>
          <w:highlight w:val="none"/>
          <w:lang w:val="en-US" w:eastAsia="zh-CN"/>
        </w:rPr>
        <w:t xml:space="preserve">  </w:t>
      </w:r>
      <w:r>
        <w:rPr>
          <w:rFonts w:hint="eastAsia" w:ascii="仿宋_GB2312" w:hAnsi="仿宋_GB2312" w:eastAsia="仿宋_GB2312" w:cs="仿宋_GB2312"/>
          <w:b w:val="0"/>
          <w:bCs w:val="0"/>
          <w:color w:val="auto"/>
          <w:kern w:val="2"/>
          <w:sz w:val="32"/>
          <w:szCs w:val="32"/>
          <w:highlight w:val="none"/>
          <w:lang w:val="en-US" w:eastAsia="zh-CN" w:bidi="ar-SA"/>
        </w:rPr>
        <w:t>县水务局会同县卫生健康局等部门制定农村饮水安全保障应急预案，报县级人民政府批准后实施。乡镇水管站应当制定供水安全运行应急预案，报县水务局备案，并定期组织演练。</w:t>
      </w:r>
    </w:p>
    <w:p>
      <w:pPr>
        <w:pageBreakBefore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b w:val="0"/>
          <w:bCs w:val="0"/>
          <w:color w:val="auto"/>
          <w:sz w:val="32"/>
          <w:szCs w:val="32"/>
          <w:highlight w:val="none"/>
        </w:rPr>
      </w:pPr>
    </w:p>
    <w:p>
      <w:pPr>
        <w:pStyle w:val="3"/>
        <w:pageBreakBefore w:val="0"/>
        <w:kinsoku/>
        <w:wordWrap/>
        <w:overflowPunct/>
        <w:topLinePunct w:val="0"/>
        <w:autoSpaceDE/>
        <w:autoSpaceDN/>
        <w:bidi w:val="0"/>
        <w:adjustRightInd/>
        <w:snapToGrid/>
        <w:spacing w:before="0" w:beforeLines="0" w:after="0" w:afterLines="0" w:line="576" w:lineRule="exact"/>
        <w:jc w:val="center"/>
        <w:textAlignment w:val="auto"/>
        <w:rPr>
          <w:rFonts w:hint="eastAsia" w:ascii="黑体" w:hAnsi="黑体" w:eastAsia="黑体" w:cs="黑体"/>
          <w:b w:val="0"/>
          <w:bCs w:val="0"/>
          <w:color w:val="auto"/>
          <w:kern w:val="2"/>
          <w:sz w:val="32"/>
          <w:szCs w:val="32"/>
          <w:highlight w:val="none"/>
          <w:lang w:val="en-US" w:eastAsia="zh-CN" w:bidi="ar-SA"/>
        </w:rPr>
      </w:pPr>
      <w:r>
        <w:rPr>
          <w:rFonts w:hint="eastAsia" w:ascii="黑体" w:hAnsi="黑体" w:eastAsia="黑体" w:cs="黑体"/>
          <w:b w:val="0"/>
          <w:bCs w:val="0"/>
          <w:color w:val="auto"/>
          <w:kern w:val="2"/>
          <w:sz w:val="32"/>
          <w:szCs w:val="32"/>
          <w:highlight w:val="none"/>
          <w:lang w:val="en-US" w:eastAsia="zh-CN" w:bidi="ar-SA"/>
        </w:rPr>
        <w:t>第六章  监督检查</w:t>
      </w:r>
    </w:p>
    <w:p>
      <w:pPr>
        <w:pageBreakBefore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b w:val="0"/>
          <w:bCs w:val="0"/>
          <w:color w:val="auto"/>
          <w:sz w:val="32"/>
          <w:szCs w:val="32"/>
          <w:highlight w:val="none"/>
        </w:rPr>
      </w:pPr>
    </w:p>
    <w:p>
      <w:pPr>
        <w:pageBreakBefore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黑体" w:hAnsi="黑体" w:eastAsia="黑体" w:cs="黑体"/>
          <w:b w:val="0"/>
          <w:bCs w:val="0"/>
          <w:color w:val="auto"/>
          <w:kern w:val="2"/>
          <w:sz w:val="32"/>
          <w:szCs w:val="32"/>
          <w:highlight w:val="none"/>
          <w:lang w:val="en-US" w:eastAsia="zh-CN" w:bidi="ar-SA"/>
        </w:rPr>
        <w:t>第三十四条</w:t>
      </w:r>
      <w:r>
        <w:rPr>
          <w:rFonts w:hint="eastAsia" w:ascii="仿宋_GB2312" w:hAnsi="仿宋_GB2312" w:eastAsia="仿宋_GB2312" w:cs="仿宋_GB2312"/>
          <w:b w:val="0"/>
          <w:bCs w:val="0"/>
          <w:color w:val="auto"/>
          <w:sz w:val="32"/>
          <w:szCs w:val="32"/>
          <w:highlight w:val="none"/>
          <w:lang w:val="en-US" w:eastAsia="zh-CN"/>
        </w:rPr>
        <w:t xml:space="preserve">  </w:t>
      </w:r>
      <w:r>
        <w:rPr>
          <w:rFonts w:hint="eastAsia" w:ascii="仿宋_GB2312" w:hAnsi="仿宋_GB2312" w:eastAsia="仿宋_GB2312" w:cs="仿宋_GB2312"/>
          <w:b w:val="0"/>
          <w:bCs w:val="0"/>
          <w:color w:val="auto"/>
          <w:kern w:val="2"/>
          <w:sz w:val="32"/>
          <w:szCs w:val="32"/>
          <w:highlight w:val="none"/>
          <w:lang w:val="en-US" w:eastAsia="zh-CN" w:bidi="ar-SA"/>
        </w:rPr>
        <w:t>县水务局会同县发改、纪委、监委、卫健、财政、审计、应急等相关部门加强对全县农村饮水安全工程项目的监督和检查。检查内容包括项目组织领导、工程质量、投资使用管理、工程效益发挥情况等。对发现的问题进行通报、责令限期整改。同时各乡镇和县水务、卫健、生态、发改、住建等部门要加强信息沟通，及时向其他部门通报各自掌握的农村饮水安全工程建设和项目建成后的供水运行管理情况。</w:t>
      </w:r>
    </w:p>
    <w:p>
      <w:pPr>
        <w:pageBreakBefore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黑体" w:hAnsi="黑体" w:eastAsia="黑体" w:cs="黑体"/>
          <w:b w:val="0"/>
          <w:bCs w:val="0"/>
          <w:color w:val="auto"/>
          <w:kern w:val="2"/>
          <w:sz w:val="32"/>
          <w:szCs w:val="32"/>
          <w:highlight w:val="none"/>
          <w:lang w:val="en-US" w:eastAsia="zh-CN" w:bidi="ar-SA"/>
        </w:rPr>
        <w:t>第三十五条</w:t>
      </w:r>
      <w:r>
        <w:rPr>
          <w:rFonts w:hint="eastAsia" w:ascii="仿宋_GB2312" w:hAnsi="仿宋_GB2312" w:eastAsia="仿宋_GB2312" w:cs="仿宋_GB2312"/>
          <w:b w:val="0"/>
          <w:bCs w:val="0"/>
          <w:color w:val="auto"/>
          <w:sz w:val="32"/>
          <w:szCs w:val="32"/>
          <w:highlight w:val="none"/>
          <w:lang w:val="en-US" w:eastAsia="zh-CN"/>
        </w:rPr>
        <w:t xml:space="preserve">  </w:t>
      </w:r>
      <w:r>
        <w:rPr>
          <w:rFonts w:hint="eastAsia" w:ascii="仿宋_GB2312" w:hAnsi="仿宋_GB2312" w:eastAsia="仿宋_GB2312" w:cs="仿宋_GB2312"/>
          <w:b w:val="0"/>
          <w:bCs w:val="0"/>
          <w:color w:val="auto"/>
          <w:kern w:val="2"/>
          <w:sz w:val="32"/>
          <w:szCs w:val="32"/>
          <w:highlight w:val="none"/>
          <w:lang w:val="en-US" w:eastAsia="zh-CN" w:bidi="ar-SA"/>
        </w:rPr>
        <w:t>如违反本方案相关规定，将依照国家相关规定进行追责或者处罚。</w:t>
      </w:r>
    </w:p>
    <w:p>
      <w:pPr>
        <w:pStyle w:val="3"/>
        <w:pageBreakBefore w:val="0"/>
        <w:kinsoku/>
        <w:wordWrap/>
        <w:overflowPunct/>
        <w:topLinePunct w:val="0"/>
        <w:autoSpaceDE/>
        <w:autoSpaceDN/>
        <w:bidi w:val="0"/>
        <w:adjustRightInd/>
        <w:snapToGrid/>
        <w:spacing w:before="0" w:beforeLines="0" w:after="0" w:afterLines="0" w:line="576" w:lineRule="exact"/>
        <w:jc w:val="center"/>
        <w:textAlignment w:val="auto"/>
        <w:rPr>
          <w:rFonts w:hint="eastAsia" w:ascii="仿宋_GB2312" w:hAnsi="仿宋_GB2312" w:eastAsia="仿宋_GB2312" w:cs="仿宋_GB2312"/>
          <w:b w:val="0"/>
          <w:bCs w:val="0"/>
          <w:color w:val="auto"/>
          <w:sz w:val="32"/>
          <w:szCs w:val="32"/>
          <w:highlight w:val="none"/>
          <w:lang w:eastAsia="zh-CN"/>
        </w:rPr>
      </w:pPr>
    </w:p>
    <w:p>
      <w:pPr>
        <w:pStyle w:val="3"/>
        <w:pageBreakBefore w:val="0"/>
        <w:kinsoku/>
        <w:wordWrap/>
        <w:overflowPunct/>
        <w:topLinePunct w:val="0"/>
        <w:autoSpaceDE/>
        <w:autoSpaceDN/>
        <w:bidi w:val="0"/>
        <w:adjustRightInd/>
        <w:snapToGrid/>
        <w:spacing w:before="0" w:beforeLines="0" w:after="0" w:afterLines="0" w:line="576" w:lineRule="exact"/>
        <w:jc w:val="center"/>
        <w:textAlignment w:val="auto"/>
        <w:rPr>
          <w:rFonts w:hint="eastAsia" w:ascii="黑体" w:hAnsi="黑体" w:eastAsia="黑体" w:cs="黑体"/>
          <w:b w:val="0"/>
          <w:bCs w:val="0"/>
          <w:color w:val="auto"/>
          <w:kern w:val="2"/>
          <w:sz w:val="32"/>
          <w:szCs w:val="32"/>
          <w:highlight w:val="none"/>
          <w:lang w:val="en-US" w:eastAsia="zh-CN" w:bidi="ar-SA"/>
        </w:rPr>
      </w:pPr>
      <w:r>
        <w:rPr>
          <w:rFonts w:hint="eastAsia" w:ascii="黑体" w:hAnsi="黑体" w:eastAsia="黑体" w:cs="黑体"/>
          <w:b w:val="0"/>
          <w:bCs w:val="0"/>
          <w:color w:val="auto"/>
          <w:kern w:val="2"/>
          <w:sz w:val="32"/>
          <w:szCs w:val="32"/>
          <w:highlight w:val="none"/>
          <w:lang w:val="en-US" w:eastAsia="zh-CN" w:bidi="ar-SA"/>
        </w:rPr>
        <w:t>第七章  附  则</w:t>
      </w:r>
    </w:p>
    <w:p>
      <w:pPr>
        <w:pageBreakBefore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b w:val="0"/>
          <w:bCs w:val="0"/>
          <w:color w:val="auto"/>
          <w:sz w:val="32"/>
          <w:szCs w:val="32"/>
          <w:highlight w:val="none"/>
          <w:lang w:eastAsia="zh-CN"/>
        </w:rPr>
      </w:pPr>
    </w:p>
    <w:p>
      <w:pPr>
        <w:pageBreakBefore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黑体" w:hAnsi="黑体" w:eastAsia="黑体" w:cs="黑体"/>
          <w:b w:val="0"/>
          <w:bCs w:val="0"/>
          <w:color w:val="auto"/>
          <w:kern w:val="2"/>
          <w:sz w:val="32"/>
          <w:szCs w:val="32"/>
          <w:highlight w:val="none"/>
          <w:lang w:val="en-US" w:eastAsia="zh-CN" w:bidi="ar-SA"/>
        </w:rPr>
        <w:t>第三十六条</w:t>
      </w:r>
      <w:r>
        <w:rPr>
          <w:rFonts w:hint="eastAsia" w:ascii="仿宋_GB2312" w:hAnsi="仿宋_GB2312" w:eastAsia="仿宋_GB2312" w:cs="仿宋_GB2312"/>
          <w:b w:val="0"/>
          <w:bCs w:val="0"/>
          <w:color w:val="auto"/>
          <w:sz w:val="32"/>
          <w:szCs w:val="32"/>
          <w:highlight w:val="none"/>
          <w:lang w:val="en-US" w:eastAsia="zh-CN"/>
        </w:rPr>
        <w:t xml:space="preserve">  </w:t>
      </w:r>
      <w:r>
        <w:rPr>
          <w:rFonts w:hint="eastAsia" w:ascii="仿宋_GB2312" w:hAnsi="仿宋_GB2312" w:eastAsia="仿宋_GB2312" w:cs="仿宋_GB2312"/>
          <w:b w:val="0"/>
          <w:bCs w:val="0"/>
          <w:color w:val="auto"/>
          <w:kern w:val="2"/>
          <w:sz w:val="32"/>
          <w:szCs w:val="32"/>
          <w:highlight w:val="none"/>
          <w:lang w:val="en-US" w:eastAsia="zh-CN" w:bidi="ar-SA"/>
        </w:rPr>
        <w:t>本管理方案由县水务局负责解释。</w:t>
      </w:r>
    </w:p>
    <w:p>
      <w:pPr>
        <w:pageBreakBefore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黑体" w:hAnsi="黑体" w:eastAsia="黑体" w:cs="黑体"/>
          <w:b w:val="0"/>
          <w:bCs w:val="0"/>
          <w:color w:val="auto"/>
          <w:kern w:val="2"/>
          <w:sz w:val="32"/>
          <w:szCs w:val="32"/>
          <w:highlight w:val="none"/>
          <w:lang w:val="en-US" w:eastAsia="zh-CN" w:bidi="ar-SA"/>
        </w:rPr>
        <w:t>第三十七条</w:t>
      </w:r>
      <w:r>
        <w:rPr>
          <w:rFonts w:hint="eastAsia" w:ascii="仿宋_GB2312" w:hAnsi="仿宋_GB2312" w:eastAsia="仿宋_GB2312" w:cs="仿宋_GB2312"/>
          <w:b w:val="0"/>
          <w:bCs w:val="0"/>
          <w:color w:val="auto"/>
          <w:sz w:val="32"/>
          <w:szCs w:val="32"/>
          <w:highlight w:val="none"/>
          <w:lang w:val="en-US" w:eastAsia="zh-CN"/>
        </w:rPr>
        <w:t xml:space="preserve">  </w:t>
      </w:r>
      <w:r>
        <w:rPr>
          <w:rFonts w:hint="eastAsia" w:ascii="仿宋_GB2312" w:hAnsi="仿宋_GB2312" w:eastAsia="仿宋_GB2312" w:cs="仿宋_GB2312"/>
          <w:b w:val="0"/>
          <w:bCs w:val="0"/>
          <w:color w:val="auto"/>
          <w:kern w:val="2"/>
          <w:sz w:val="32"/>
          <w:szCs w:val="32"/>
          <w:highlight w:val="none"/>
          <w:lang w:val="en-US" w:eastAsia="zh-CN" w:bidi="ar-SA"/>
        </w:rPr>
        <w:t>本管理方案试行期为五年，有效期满经修订重先印发。</w:t>
      </w:r>
    </w:p>
    <w:p>
      <w:pPr>
        <w:pageBreakBefore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黑体" w:hAnsi="黑体" w:eastAsia="黑体" w:cs="黑体"/>
          <w:b w:val="0"/>
          <w:bCs w:val="0"/>
          <w:color w:val="auto"/>
          <w:kern w:val="2"/>
          <w:sz w:val="32"/>
          <w:szCs w:val="32"/>
          <w:highlight w:val="none"/>
          <w:lang w:val="en-US" w:eastAsia="zh-CN" w:bidi="ar-SA"/>
        </w:rPr>
        <w:t>第三十八条</w:t>
      </w:r>
      <w:r>
        <w:rPr>
          <w:rFonts w:hint="eastAsia" w:ascii="仿宋_GB2312" w:hAnsi="仿宋_GB2312" w:eastAsia="仿宋_GB2312" w:cs="仿宋_GB2312"/>
          <w:b w:val="0"/>
          <w:bCs w:val="0"/>
          <w:color w:val="auto"/>
          <w:sz w:val="32"/>
          <w:szCs w:val="32"/>
          <w:highlight w:val="none"/>
        </w:rPr>
        <w:t xml:space="preserve"> </w:t>
      </w:r>
      <w:r>
        <w:rPr>
          <w:rFonts w:hint="eastAsia" w:ascii="仿宋_GB2312" w:hAnsi="仿宋_GB2312" w:eastAsia="仿宋_GB2312" w:cs="仿宋_GB2312"/>
          <w:b w:val="0"/>
          <w:bCs w:val="0"/>
          <w:color w:val="auto"/>
          <w:sz w:val="32"/>
          <w:szCs w:val="32"/>
          <w:highlight w:val="none"/>
          <w:lang w:val="en-US" w:eastAsia="zh-CN"/>
        </w:rPr>
        <w:t xml:space="preserve"> </w:t>
      </w:r>
      <w:r>
        <w:rPr>
          <w:rFonts w:hint="eastAsia" w:ascii="仿宋_GB2312" w:hAnsi="仿宋_GB2312" w:eastAsia="仿宋_GB2312" w:cs="仿宋_GB2312"/>
          <w:b w:val="0"/>
          <w:bCs w:val="0"/>
          <w:color w:val="auto"/>
          <w:kern w:val="2"/>
          <w:sz w:val="32"/>
          <w:szCs w:val="32"/>
          <w:highlight w:val="none"/>
          <w:lang w:val="en-US" w:eastAsia="zh-CN" w:bidi="ar-SA"/>
        </w:rPr>
        <w:t>本管理方案自发布之日起施行。</w:t>
      </w:r>
    </w:p>
    <w:p>
      <w:pPr>
        <w:pageBreakBefore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黑体" w:hAnsi="黑体" w:eastAsia="黑体" w:cs="黑体"/>
          <w:b w:val="0"/>
          <w:bCs w:val="0"/>
          <w:color w:val="auto"/>
          <w:kern w:val="2"/>
          <w:sz w:val="32"/>
          <w:szCs w:val="32"/>
          <w:highlight w:val="none"/>
          <w:lang w:val="en-US" w:eastAsia="zh-CN" w:bidi="ar-SA"/>
        </w:rPr>
        <w:t>第三十九条</w:t>
      </w:r>
      <w:r>
        <w:rPr>
          <w:rFonts w:hint="eastAsia" w:ascii="仿宋_GB2312" w:hAnsi="仿宋_GB2312" w:eastAsia="仿宋_GB2312" w:cs="仿宋_GB2312"/>
          <w:b w:val="0"/>
          <w:bCs w:val="0"/>
          <w:color w:val="auto"/>
          <w:sz w:val="32"/>
          <w:szCs w:val="32"/>
          <w:highlight w:val="none"/>
        </w:rPr>
        <w:t xml:space="preserve"> </w:t>
      </w:r>
      <w:r>
        <w:rPr>
          <w:rFonts w:hint="eastAsia" w:ascii="仿宋_GB2312" w:hAnsi="仿宋_GB2312" w:eastAsia="仿宋_GB2312" w:cs="仿宋_GB2312"/>
          <w:b w:val="0"/>
          <w:bCs w:val="0"/>
          <w:color w:val="auto"/>
          <w:sz w:val="32"/>
          <w:szCs w:val="32"/>
          <w:highlight w:val="none"/>
          <w:lang w:val="en-US" w:eastAsia="zh-CN"/>
        </w:rPr>
        <w:t xml:space="preserve"> </w:t>
      </w:r>
      <w:r>
        <w:rPr>
          <w:rFonts w:hint="eastAsia" w:ascii="仿宋_GB2312" w:hAnsi="仿宋_GB2312" w:eastAsia="仿宋_GB2312" w:cs="仿宋_GB2312"/>
          <w:b w:val="0"/>
          <w:bCs w:val="0"/>
          <w:color w:val="auto"/>
          <w:kern w:val="2"/>
          <w:sz w:val="32"/>
          <w:szCs w:val="32"/>
          <w:highlight w:val="none"/>
          <w:lang w:val="en-US" w:eastAsia="zh-CN" w:bidi="ar-SA"/>
        </w:rPr>
        <w:t>当国家、省、市、县政策发生重大变化时，重新修订本管理方案。</w:t>
      </w:r>
    </w:p>
    <w:p>
      <w:pPr>
        <w:keepNext w:val="0"/>
        <w:keepLines w:val="0"/>
        <w:pageBreakBefore w:val="0"/>
        <w:widowControl w:val="0"/>
        <w:kinsoku/>
        <w:wordWrap/>
        <w:overflowPunct/>
        <w:topLinePunct w:val="0"/>
        <w:autoSpaceDE/>
        <w:autoSpaceDN/>
        <w:bidi w:val="0"/>
        <w:adjustRightInd/>
        <w:snapToGrid/>
        <w:spacing w:line="576" w:lineRule="exact"/>
        <w:ind w:firstLine="320" w:firstLineChars="100"/>
        <w:jc w:val="both"/>
        <w:textAlignment w:val="auto"/>
        <w:outlineLvl w:val="9"/>
        <w:rPr>
          <w:rFonts w:hint="default" w:ascii="Times New Roman" w:hAnsi="Times New Roman" w:eastAsia="方正仿宋_GBK" w:cs="Times New Roman"/>
          <w:sz w:val="32"/>
          <w:szCs w:val="32"/>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仿宋_GBK">
    <w:panose1 w:val="02000000000000000000"/>
    <w:charset w:val="86"/>
    <w:family w:val="script"/>
    <w:pitch w:val="default"/>
    <w:sig w:usb0="A00002BF" w:usb1="38CF7CFA" w:usb2="00082016" w:usb3="00000000" w:csb0="00040001" w:csb1="00000000"/>
    <w:embedRegular r:id="rId1" w:fontKey="{55586A81-86B7-4A3E-B6FE-24A1B80AB17B}"/>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镇康县人民政府发布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镇康县人民政府行政规范性文件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985230"/>
    <w:multiLevelType w:val="singleLevel"/>
    <w:tmpl w:val="18985230"/>
    <w:lvl w:ilvl="0" w:tentative="0">
      <w:start w:val="2"/>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hjZTAyYTgwYjU2YWM4NjJjOGQ1Y2NjZWQwZDYyNjIifQ=="/>
  </w:docVars>
  <w:rsids>
    <w:rsidRoot w:val="00172A27"/>
    <w:rsid w:val="019E71BD"/>
    <w:rsid w:val="04B679C3"/>
    <w:rsid w:val="04E24ACA"/>
    <w:rsid w:val="060D0888"/>
    <w:rsid w:val="080F63D8"/>
    <w:rsid w:val="09341458"/>
    <w:rsid w:val="0A446ED3"/>
    <w:rsid w:val="0B0912D7"/>
    <w:rsid w:val="11186712"/>
    <w:rsid w:val="152D2DCA"/>
    <w:rsid w:val="1DEC284C"/>
    <w:rsid w:val="1E6523AC"/>
    <w:rsid w:val="1FF569C3"/>
    <w:rsid w:val="22440422"/>
    <w:rsid w:val="306D7208"/>
    <w:rsid w:val="31A15F24"/>
    <w:rsid w:val="31FD7870"/>
    <w:rsid w:val="32DB92FA"/>
    <w:rsid w:val="34205F1E"/>
    <w:rsid w:val="348B56C1"/>
    <w:rsid w:val="365FC067"/>
    <w:rsid w:val="395347B5"/>
    <w:rsid w:val="39A232A0"/>
    <w:rsid w:val="39E745AA"/>
    <w:rsid w:val="3B5A6BBB"/>
    <w:rsid w:val="3D77BCD7"/>
    <w:rsid w:val="3DF60717"/>
    <w:rsid w:val="3EDA13A6"/>
    <w:rsid w:val="3F606432"/>
    <w:rsid w:val="42F058B7"/>
    <w:rsid w:val="436109F6"/>
    <w:rsid w:val="441A38D4"/>
    <w:rsid w:val="454E5DA2"/>
    <w:rsid w:val="45827116"/>
    <w:rsid w:val="46427BA5"/>
    <w:rsid w:val="4BC77339"/>
    <w:rsid w:val="4BFCC76B"/>
    <w:rsid w:val="4C7140F3"/>
    <w:rsid w:val="4C9236C5"/>
    <w:rsid w:val="4FDCBAD5"/>
    <w:rsid w:val="505C172E"/>
    <w:rsid w:val="52F46F0B"/>
    <w:rsid w:val="52F80123"/>
    <w:rsid w:val="53D8014D"/>
    <w:rsid w:val="53EA4A0D"/>
    <w:rsid w:val="55E064E0"/>
    <w:rsid w:val="572C6D10"/>
    <w:rsid w:val="5D154A3A"/>
    <w:rsid w:val="5DC34279"/>
    <w:rsid w:val="608816D1"/>
    <w:rsid w:val="60ED35AC"/>
    <w:rsid w:val="60EF4E7F"/>
    <w:rsid w:val="61902E7D"/>
    <w:rsid w:val="64F5A37E"/>
    <w:rsid w:val="665233C1"/>
    <w:rsid w:val="6AD9688B"/>
    <w:rsid w:val="6D0E3F22"/>
    <w:rsid w:val="6EBF9763"/>
    <w:rsid w:val="73CB34E6"/>
    <w:rsid w:val="74C605EC"/>
    <w:rsid w:val="77E5E68E"/>
    <w:rsid w:val="7BBA99E5"/>
    <w:rsid w:val="7C9011D9"/>
    <w:rsid w:val="7D374C2C"/>
    <w:rsid w:val="7D3BED4D"/>
    <w:rsid w:val="7DC651C5"/>
    <w:rsid w:val="7DFF62D3"/>
    <w:rsid w:val="7F5755EE"/>
    <w:rsid w:val="7FCC2834"/>
    <w:rsid w:val="7FDF7EBC"/>
    <w:rsid w:val="7FEC29CF"/>
    <w:rsid w:val="7FEF7450"/>
    <w:rsid w:val="7FFB59AC"/>
    <w:rsid w:val="9EFF6C4E"/>
    <w:rsid w:val="ADFFD485"/>
    <w:rsid w:val="BAB3FD8B"/>
    <w:rsid w:val="BF6C407A"/>
    <w:rsid w:val="C61F199F"/>
    <w:rsid w:val="DB7417CC"/>
    <w:rsid w:val="E2CF4533"/>
    <w:rsid w:val="EAFF6724"/>
    <w:rsid w:val="EF870CDB"/>
    <w:rsid w:val="EFB79348"/>
    <w:rsid w:val="F17D4D85"/>
    <w:rsid w:val="F7FDA507"/>
    <w:rsid w:val="FBDB13C9"/>
    <w:rsid w:val="FF6E6511"/>
    <w:rsid w:val="FFAEB8AE"/>
    <w:rsid w:val="FFF6318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keepNext/>
      <w:keepLines/>
      <w:spacing w:line="576" w:lineRule="auto"/>
      <w:outlineLvl w:val="0"/>
    </w:pPr>
    <w:rPr>
      <w:rFonts w:ascii="Times New Roman" w:hAnsi="Times New Roman" w:eastAsia="宋体" w:cs="Times New Roman"/>
      <w:b/>
      <w:kern w:val="44"/>
      <w:sz w:val="44"/>
      <w:szCs w:val="24"/>
    </w:rPr>
  </w:style>
  <w:style w:type="paragraph" w:styleId="3">
    <w:name w:val="heading 2"/>
    <w:basedOn w:val="1"/>
    <w:next w:val="1"/>
    <w:autoRedefine/>
    <w:unhideWhenUsed/>
    <w:qFormat/>
    <w:uiPriority w:val="0"/>
    <w:pPr>
      <w:keepNext/>
      <w:keepLines/>
      <w:spacing w:before="240" w:beforeLines="0" w:after="240" w:afterLines="0"/>
      <w:ind w:firstLine="0" w:firstLineChars="0"/>
      <w:jc w:val="center"/>
      <w:outlineLvl w:val="1"/>
    </w:pPr>
    <w:rPr>
      <w:rFonts w:ascii="宋体" w:hAnsi="宋体" w:eastAsia="宋体"/>
      <w:b/>
      <w:bCs/>
      <w:sz w:val="36"/>
      <w:szCs w:val="30"/>
    </w:rPr>
  </w:style>
  <w:style w:type="character" w:default="1" w:styleId="10">
    <w:name w:val="Default Paragraph Font"/>
    <w:autoRedefine/>
    <w:semiHidden/>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4">
    <w:name w:val="toa heading"/>
    <w:basedOn w:val="1"/>
    <w:next w:val="1"/>
    <w:autoRedefine/>
    <w:qFormat/>
    <w:uiPriority w:val="0"/>
    <w:pPr>
      <w:spacing w:before="120"/>
    </w:pPr>
    <w:rPr>
      <w:rFonts w:ascii="Cambria" w:hAnsi="Cambria" w:eastAsia="宋体" w:cs="Cambria"/>
      <w:sz w:val="24"/>
    </w:rPr>
  </w:style>
  <w:style w:type="paragraph" w:styleId="5">
    <w:name w:val="annotation text"/>
    <w:basedOn w:val="1"/>
    <w:autoRedefine/>
    <w:qFormat/>
    <w:uiPriority w:val="0"/>
    <w:pPr>
      <w:jc w:val="left"/>
    </w:pPr>
  </w:style>
  <w:style w:type="paragraph" w:styleId="6">
    <w:name w:val="footer"/>
    <w:basedOn w:val="1"/>
    <w:autoRedefine/>
    <w:qFormat/>
    <w:uiPriority w:val="0"/>
    <w:pPr>
      <w:tabs>
        <w:tab w:val="center" w:pos="4153"/>
        <w:tab w:val="right" w:pos="8306"/>
      </w:tabs>
      <w:snapToGrid w:val="0"/>
      <w:jc w:val="left"/>
    </w:pPr>
    <w:rPr>
      <w:sz w:val="18"/>
    </w:rPr>
  </w:style>
  <w:style w:type="paragraph" w:styleId="7">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11">
    <w:name w:val="Hyperlink"/>
    <w:basedOn w:val="10"/>
    <w:autoRedefine/>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4858</Words>
  <Characters>4902</Characters>
  <Lines>1</Lines>
  <Paragraphs>1</Paragraphs>
  <TotalTime>13</TotalTime>
  <ScaleCrop>false</ScaleCrop>
  <LinksUpToDate>false</LinksUpToDate>
  <CharactersWithSpaces>4974</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2021-09-12T10:41:00Z</dcterms:created>
  <dc:creator>t</dc:creator>
  <cp:lastModifiedBy>阿瑞</cp:lastModifiedBy>
  <cp:lastPrinted>2021-10-29T11:30:00Z</cp:lastPrinted>
  <dcterms:modified xsi:type="dcterms:W3CDTF">2024-04-09T03:38:24Z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231488AC57B348F7BDF2AC81F9D62EC5_13</vt:lpwstr>
  </property>
</Properties>
</file>