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p>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开发未确定使用权的国有荒山、荒地、荒滩从事生产审查（县级权限）</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【000115132003】</w:t>
      </w:r>
    </w:p>
    <w:p>
      <w:pPr>
        <w:spacing w:line="600" w:lineRule="exact"/>
        <w:ind w:firstLine="640" w:firstLineChars="200"/>
        <w:outlineLvl w:val="1"/>
        <w:rPr>
          <w:rFonts w:ascii="黑体" w:hAnsi="黑体" w:eastAsia="黑体" w:cs="黑体"/>
          <w:color w:val="auto"/>
          <w:sz w:val="32"/>
          <w:szCs w:val="32"/>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bookmarkStart w:id="0" w:name="_GoBack"/>
      <w:bookmarkEnd w:id="0"/>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开发未确定使用权的国有荒山、荒地、荒滩从事生产审查（县级权限）【000115132003】</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开发未确定使用权的国有荒山、荒地、荒滩从事生产审查(00011513200301)(审核通过)</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《中华人民共和国土地管理法》第四十一条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（1）《中华人民共和国土地管理法》第三十九条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（2）《中华人民共和国土地管理法》第四十条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（3）《中华人民共和国土地管理法实施条例》第九条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（4）地方关于开发未确定使用权的国有荒山、荒地、荒滩从事生产审查的相关规定。</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（1）《中华人民共和国土地管理法》第六十七条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（2）《中华人民共和国土地管理法》第六十八条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（3）《中华人民共和国土地管理法》第六十九条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（4）《中华人民共和国土地管理法》第七十条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（5）《中华人民共和国土地管理法》第七十五条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（6）《中华人民共和国土地管理法》第七十七条</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（7）《中华人民共和国土地管理法实施条例》第五十七条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县级政府（由自然资源部门承办）</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县级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土地开垦区内开发未确定使用权的国有土地从事生产审查</w:t>
      </w:r>
    </w:p>
    <w:p>
      <w:pPr>
        <w:spacing w:line="600" w:lineRule="exact"/>
        <w:ind w:firstLine="643" w:firstLineChars="200"/>
        <w:jc w:val="lef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lang w:val="en-US" w:eastAsia="zh-CN"/>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（1）开垦荒山、荒地、荒滩等未利用土地的，应当符合生态环境保护相关规定；涉及湖泊、江河滩地的，还应满足防洪安全要求。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（2）按照地方关于开发未确定使用权的国有荒山、荒地、荒滩从事生产审查的相关规定准予行政许可。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（1）开展“双随机、一公开”监督、重点监督；</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（2）加强行政执法，发现违法违规行为，依法严肃查处；</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（3）自觉接受社会监督，及时向社会公开许可信息；</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（4）加强信用监管，依法依规探索对失信主体开展失信惩戒。</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（1）开垦荒山、荒地、荒滩等未利用土地的生态评估报告和生态保护方案。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（2）以从事林业生产为目的的开发活动，需提交从事造林绿化基本情况的说明。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（3）按照地方关于开发未确定使用权的国有荒山、荒地、荒滩从事生产审查的相关规定提交的其他申请材料。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（1）按照地方关于开发未确定使用权的国有荒山、荒地、荒滩从事生产审查的相关规定办理。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（2）许可机关在作出行政许可决定前应当征求同级林草主管部门意见。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地方关于开发未确定使用权的国有荒山、荒地、荒滩从事生产审查的相关规定。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部分情况下开展</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20个工作日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20个工作日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依法进行听证、专家评审等另需时间不计算在该时限</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暂由地方规定有无行政许可证件的有效期限</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r>
        <w:rPr>
          <w:rFonts w:hint="eastAsia" w:ascii="仿宋_GB2312" w:hAnsi="仿宋_GB2312" w:eastAsia="仿宋_GB2312" w:cs="仿宋_GB2312"/>
          <w:color w:val="auto"/>
          <w:sz w:val="32"/>
          <w:szCs w:val="32"/>
          <w:highlight w:val="none"/>
        </w:rPr>
        <w:t>地方有关规定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是</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暂由各地区自行规定</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全国</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县级自然资源主管部门会同林草主管部门</w:t>
      </w:r>
      <w:r>
        <w:rPr>
          <w:rFonts w:hint="eastAsia" w:ascii="仿宋_GB2312" w:hAnsi="仿宋_GB2312" w:eastAsia="仿宋_GB2312" w:cs="仿宋_GB2312"/>
          <w:color w:val="auto"/>
          <w:sz w:val="32"/>
          <w:szCs w:val="32"/>
          <w:highlight w:val="none"/>
          <w:lang w:eastAsia="zh-CN"/>
        </w:rPr>
        <w:t>。</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许可决定应抄送同级林草主管部门。</w:t>
      </w:r>
    </w:p>
    <w:p>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2F6360"/>
    <w:rsid w:val="005418E0"/>
    <w:rsid w:val="006C57E0"/>
    <w:rsid w:val="4A1947CF"/>
    <w:rsid w:val="4F324132"/>
    <w:rsid w:val="7A82307F"/>
    <w:rsid w:val="FFFFC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2389</Words>
  <Characters>2524</Characters>
  <Lines>18</Lines>
  <Paragraphs>5</Paragraphs>
  <TotalTime>1</TotalTime>
  <ScaleCrop>false</ScaleCrop>
  <LinksUpToDate>false</LinksUpToDate>
  <CharactersWithSpaces>2528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Administrator</cp:lastModifiedBy>
  <dcterms:modified xsi:type="dcterms:W3CDTF">2023-09-26T07:34:45Z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149707EB1883435481056D3ACC60914D_12</vt:lpwstr>
  </property>
</Properties>
</file>